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800"/>
      </w:pPr>
      <w:r>
        <w:rPr>
          <w:b/>
          <w:bCs/>
          <w:color w:val="1E5F57"/>
          <w:sz w:val="64"/>
          <w:szCs w:val="64"/>
        </w:rPr>
        <w:t xml:space="preserve">KAI · Kindergarden AI</w:t>
      </w:r>
    </w:p>
    <w:p>
      <w:pPr>
        <w:pBdr>
          <w:bottom w:val="single" w:color="1E5F57" w:sz="12" w:space="12"/>
        </w:pBdr>
        <w:spacing w:after="600" w:before="120"/>
      </w:pPr>
      <w:r>
        <w:rPr>
          <w:color w:val="23302E"/>
          <w:sz w:val="36"/>
          <w:szCs w:val="36"/>
        </w:rPr>
        <w:t xml:space="preserve">Функционална и техническа спецификация</w:t>
      </w:r>
    </w:p>
    <w:p>
      <w:pPr>
        <w:spacing w:after="120"/>
      </w:pPr>
      <w:r>
        <w:rPr>
          <w:color w:val="3A4A47"/>
          <w:sz w:val="22"/>
          <w:szCs w:val="22"/>
        </w:rPr>
        <w:t xml:space="preserve">Приложение към указанията на МОН: пакет за обекта (Перо 1) и годишна услуга (Перо 2) на системата KAI в детските градини</w:t>
      </w:r>
    </w:p>
    <w:p>
      <w:pPr>
        <w:spacing w:after="900"/>
      </w:pP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3000"/>
        <w:gridCol w:w="6638"/>
      </w:tblGrid>
      <w:tr>
        <w:trPr>
          <w:cantSplit/>
          <w:tblHeader/>
        </w:trPr>
        <w:tc>
          <w:tcPr>
            <w:tcW w:type="dxa" w:w="3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Реквизит</w:t>
            </w:r>
          </w:p>
        </w:tc>
        <w:tc>
          <w:tcPr>
            <w:tcW w:type="dxa" w:w="66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Стойност</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Документ</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Функционална и техническа спецификация</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Продукт</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KAI (Kindergarden AI)</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Версия</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1.3</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Дата</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07.10.2026</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Предназначение</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Приложение към указанията на МОН по модула на НП „Осигуряване на съвременна, сигурна и достъпна образователна среда“</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Ползватели</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Детските градини и сертифицираните партньори (национални оператори и интегратори)</w:t>
            </w:r>
          </w:p>
        </w:tc>
      </w:tr>
      <w:tr>
        <w:trPr>
          <w:cantSplit/>
        </w:trPr>
        <w:tc>
          <w:tcPr>
            <w:tcW w:type="dxa" w:w="3000"/>
            <w:tcMar>
              <w:top w:type="dxa" w:w="40"/>
              <w:left w:type="dxa" w:w="70"/>
              <w:bottom w:type="dxa" w:w="40"/>
              <w:right w:type="dxa" w:w="70"/>
            </w:tcMar>
            <w:vAlign w:val="top"/>
          </w:tcPr>
          <w:p>
            <w:pPr>
              <w:keepNext w:val="false"/>
              <w:keepLines/>
              <w:spacing w:after="0" w:line="240"/>
              <w:jc w:val="left"/>
            </w:pPr>
            <w:r>
              <w:rPr>
                <w:b/>
                <w:bCs/>
                <w:sz w:val="16"/>
                <w:szCs w:val="16"/>
              </w:rPr>
              <w:t xml:space="preserve">Контакт за въпроси</w:t>
            </w:r>
          </w:p>
        </w:tc>
        <w:tc>
          <w:tcPr>
            <w:tcW w:type="dxa" w:w="6638"/>
            <w:tcMar>
              <w:top w:type="dxa" w:w="40"/>
              <w:left w:type="dxa" w:w="70"/>
              <w:bottom w:type="dxa" w:w="40"/>
              <w:right w:type="dxa" w:w="70"/>
            </w:tcMar>
            <w:vAlign w:val="top"/>
          </w:tcPr>
          <w:p>
            <w:pPr>
              <w:keepNext w:val="false"/>
              <w:keepLines/>
              <w:spacing w:after="0" w:line="240"/>
              <w:jc w:val="left"/>
            </w:pPr>
            <w:r>
              <w:rPr>
                <w:sz w:val="16"/>
                <w:szCs w:val="16"/>
              </w:rPr>
              <w:t xml:space="preserve">[попълва се]</w:t>
            </w:r>
          </w:p>
        </w:tc>
      </w:tr>
    </w:tbl>
    <w:p>
      <w:pPr>
        <w:spacing w:after="120"/>
      </w:pPr>
    </w:p>
    <w:p>
      <w:pPr>
        <w:spacing w:after="80" w:before="200"/>
      </w:pPr>
      <w:r>
        <w:rPr>
          <w:b/>
          <w:bCs/>
          <w:color w:val="1E5F57"/>
          <w:sz w:val="22"/>
          <w:szCs w:val="22"/>
        </w:rPr>
        <w:t xml:space="preserve">История на версиите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200"/>
        <w:gridCol w:w="1800"/>
        <w:gridCol w:w="4638"/>
        <w:gridCol w:w="2000"/>
      </w:tblGrid>
      <w:tr>
        <w:trPr>
          <w:cantSplit/>
          <w:tblHeader/>
        </w:trPr>
        <w:tc>
          <w:tcPr>
            <w:tcW w:type="dxa" w:w="12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Версия</w:t>
            </w:r>
          </w:p>
        </w:tc>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Дата</w:t>
            </w:r>
          </w:p>
        </w:tc>
        <w:tc>
          <w:tcPr>
            <w:tcW w:type="dxa" w:w="46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Промени</w:t>
            </w:r>
          </w:p>
        </w:tc>
        <w:tc>
          <w:tcPr>
            <w:tcW w:type="dxa" w:w="2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Автор</w:t>
            </w:r>
          </w:p>
        </w:tc>
      </w:tr>
      <w:tr>
        <w:trPr>
          <w:cantSplit/>
        </w:trPr>
        <w:tc>
          <w:tcPr>
            <w:tcW w:type="dxa" w:w="1200"/>
            <w:tcMar>
              <w:top w:type="dxa" w:w="40"/>
              <w:left w:type="dxa" w:w="70"/>
              <w:bottom w:type="dxa" w:w="40"/>
              <w:right w:type="dxa" w:w="70"/>
            </w:tcMar>
            <w:vAlign w:val="top"/>
          </w:tcPr>
          <w:p>
            <w:pPr>
              <w:keepNext w:val="false"/>
              <w:keepLines/>
              <w:spacing w:after="0" w:line="240"/>
              <w:jc w:val="left"/>
            </w:pPr>
            <w:r>
              <w:rPr>
                <w:sz w:val="16"/>
                <w:szCs w:val="16"/>
              </w:rPr>
              <w:t xml:space="preserve">1.0</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октомври 2026</w:t>
            </w:r>
          </w:p>
        </w:tc>
        <w:tc>
          <w:tcPr>
            <w:tcW w:type="dxa" w:w="4638"/>
            <w:tcMar>
              <w:top w:type="dxa" w:w="40"/>
              <w:left w:type="dxa" w:w="70"/>
              <w:bottom w:type="dxa" w:w="40"/>
              <w:right w:type="dxa" w:w="70"/>
            </w:tcMar>
            <w:vAlign w:val="top"/>
          </w:tcPr>
          <w:p>
            <w:pPr>
              <w:keepNext w:val="false"/>
              <w:keepLines/>
              <w:spacing w:after="0" w:line="240"/>
              <w:jc w:val="left"/>
            </w:pPr>
            <w:r>
              <w:rPr>
                <w:sz w:val="16"/>
                <w:szCs w:val="16"/>
              </w:rPr>
              <w:t xml:space="preserve">Първа версия за изпращане към изпълнители</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[попълва се]</w:t>
            </w:r>
          </w:p>
        </w:tc>
      </w:tr>
      <w:tr>
        <w:trPr>
          <w:cantSplit/>
        </w:trPr>
        <w:tc>
          <w:tcPr>
            <w:tcW w:type="dxa" w:w="1200"/>
            <w:tcMar>
              <w:top w:type="dxa" w:w="40"/>
              <w:left w:type="dxa" w:w="70"/>
              <w:bottom w:type="dxa" w:w="40"/>
              <w:right w:type="dxa" w:w="70"/>
            </w:tcMar>
            <w:vAlign w:val="top"/>
          </w:tcPr>
          <w:p>
            <w:pPr>
              <w:keepNext w:val="false"/>
              <w:keepLines/>
              <w:spacing w:after="0" w:line="240"/>
              <w:jc w:val="left"/>
            </w:pPr>
            <w:r>
              <w:rPr>
                <w:sz w:val="16"/>
                <w:szCs w:val="16"/>
              </w:rPr>
              <w:t xml:space="preserve">1.1</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октомври 2026</w:t>
            </w:r>
          </w:p>
        </w:tc>
        <w:tc>
          <w:tcPr>
            <w:tcW w:type="dxa" w:w="4638"/>
            <w:tcMar>
              <w:top w:type="dxa" w:w="40"/>
              <w:left w:type="dxa" w:w="70"/>
              <w:bottom w:type="dxa" w:w="40"/>
              <w:right w:type="dxa" w:w="70"/>
            </w:tcMar>
            <w:vAlign w:val="top"/>
          </w:tcPr>
          <w:p>
            <w:pPr>
              <w:keepNext w:val="false"/>
              <w:keepLines/>
              <w:spacing w:after="0" w:line="240"/>
              <w:jc w:val="left"/>
            </w:pPr>
            <w:r>
              <w:rPr>
                <w:sz w:val="16"/>
                <w:szCs w:val="16"/>
              </w:rPr>
              <w:t xml:space="preserve">Допълнения след преглед на решенията на Hikvision и Dahua за образование</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[попълва се]</w:t>
            </w:r>
          </w:p>
        </w:tc>
      </w:tr>
      <w:tr>
        <w:trPr>
          <w:cantSplit/>
        </w:trPr>
        <w:tc>
          <w:tcPr>
            <w:tcW w:type="dxa" w:w="1200"/>
            <w:tcMar>
              <w:top w:type="dxa" w:w="40"/>
              <w:left w:type="dxa" w:w="70"/>
              <w:bottom w:type="dxa" w:w="40"/>
              <w:right w:type="dxa" w:w="70"/>
            </w:tcMar>
            <w:vAlign w:val="top"/>
          </w:tcPr>
          <w:p>
            <w:pPr>
              <w:keepNext w:val="false"/>
              <w:keepLines/>
              <w:spacing w:after="0" w:line="240"/>
              <w:jc w:val="left"/>
            </w:pPr>
            <w:r>
              <w:rPr>
                <w:sz w:val="16"/>
                <w:szCs w:val="16"/>
              </w:rPr>
              <w:t xml:space="preserve">1.2</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октомври 2026</w:t>
            </w:r>
          </w:p>
        </w:tc>
        <w:tc>
          <w:tcPr>
            <w:tcW w:type="dxa" w:w="4638"/>
            <w:tcMar>
              <w:top w:type="dxa" w:w="40"/>
              <w:left w:type="dxa" w:w="70"/>
              <w:bottom w:type="dxa" w:w="40"/>
              <w:right w:type="dxa" w:w="70"/>
            </w:tcMar>
            <w:vAlign w:val="top"/>
          </w:tcPr>
          <w:p>
            <w:pPr>
              <w:keepNext w:val="false"/>
              <w:keepLines/>
              <w:spacing w:after="0" w:line="240"/>
              <w:jc w:val="left"/>
            </w:pPr>
            <w:r>
              <w:rPr>
                <w:sz w:val="16"/>
                <w:szCs w:val="16"/>
              </w:rPr>
              <w:t xml:space="preserve">Опции О8 „Автоматично предаване и вземане“ и О9 „Зони в двора“ с BLE метки</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[попълва се]</w:t>
            </w:r>
          </w:p>
        </w:tc>
      </w:tr>
      <w:tr>
        <w:trPr>
          <w:cantSplit/>
        </w:trPr>
        <w:tc>
          <w:tcPr>
            <w:tcW w:type="dxa" w:w="1200"/>
            <w:tcMar>
              <w:top w:type="dxa" w:w="40"/>
              <w:left w:type="dxa" w:w="70"/>
              <w:bottom w:type="dxa" w:w="40"/>
              <w:right w:type="dxa" w:w="70"/>
            </w:tcMar>
            <w:vAlign w:val="top"/>
          </w:tcPr>
          <w:p>
            <w:pPr>
              <w:keepNext w:val="false"/>
              <w:keepLines/>
              <w:spacing w:after="0" w:line="240"/>
              <w:jc w:val="left"/>
            </w:pPr>
            <w:r>
              <w:rPr>
                <w:sz w:val="16"/>
                <w:szCs w:val="16"/>
              </w:rPr>
              <w:t xml:space="preserve">1.3</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07.10.2026</w:t>
            </w:r>
          </w:p>
        </w:tc>
        <w:tc>
          <w:tcPr>
            <w:tcW w:type="dxa" w:w="4638"/>
            <w:tcMar>
              <w:top w:type="dxa" w:w="40"/>
              <w:left w:type="dxa" w:w="70"/>
              <w:bottom w:type="dxa" w:w="40"/>
              <w:right w:type="dxa" w:w="70"/>
            </w:tcMar>
            <w:vAlign w:val="top"/>
          </w:tcPr>
          <w:p>
            <w:pPr>
              <w:keepNext w:val="false"/>
              <w:keepLines/>
              <w:spacing w:after="0" w:line="240"/>
              <w:jc w:val="left"/>
            </w:pPr>
            <w:r>
              <w:rPr>
                <w:sz w:val="16"/>
                <w:szCs w:val="16"/>
              </w:rPr>
              <w:t xml:space="preserve">Модел за МОН: две пера, директни договори, 1 699 градини, пускане от 01.09.2027</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[попълва се]</w:t>
            </w:r>
          </w:p>
        </w:tc>
      </w:tr>
      <w:tr>
        <w:trPr>
          <w:cantSplit/>
        </w:trPr>
        <w:tc>
          <w:tcPr>
            <w:tcW w:type="dxa" w:w="1200"/>
            <w:tcMar>
              <w:top w:type="dxa" w:w="40"/>
              <w:left w:type="dxa" w:w="70"/>
              <w:bottom w:type="dxa" w:w="40"/>
              <w:right w:type="dxa" w:w="70"/>
            </w:tcMar>
            <w:vAlign w:val="top"/>
          </w:tcPr>
          <w:p>
            <w:pPr>
              <w:keepNext w:val="false"/>
              <w:keepLines/>
              <w:spacing w:after="0" w:line="240"/>
              <w:jc w:val="left"/>
            </w:pPr>
          </w:p>
        </w:tc>
        <w:tc>
          <w:tcPr>
            <w:tcW w:type="dxa" w:w="1800"/>
            <w:tcMar>
              <w:top w:type="dxa" w:w="40"/>
              <w:left w:type="dxa" w:w="70"/>
              <w:bottom w:type="dxa" w:w="40"/>
              <w:right w:type="dxa" w:w="70"/>
            </w:tcMar>
            <w:vAlign w:val="top"/>
          </w:tcPr>
          <w:p>
            <w:pPr>
              <w:keepNext w:val="false"/>
              <w:keepLines/>
              <w:spacing w:after="0" w:line="240"/>
              <w:jc w:val="left"/>
            </w:pPr>
          </w:p>
        </w:tc>
        <w:tc>
          <w:tcPr>
            <w:tcW w:type="dxa" w:w="4638"/>
            <w:tcMar>
              <w:top w:type="dxa" w:w="40"/>
              <w:left w:type="dxa" w:w="70"/>
              <w:bottom w:type="dxa" w:w="40"/>
              <w:right w:type="dxa" w:w="70"/>
            </w:tcMar>
            <w:vAlign w:val="top"/>
          </w:tcPr>
          <w:p>
            <w:pPr>
              <w:keepNext w:val="false"/>
              <w:keepLines/>
              <w:spacing w:after="0" w:line="240"/>
              <w:jc w:val="left"/>
            </w:pPr>
          </w:p>
        </w:tc>
        <w:tc>
          <w:tcPr>
            <w:tcW w:type="dxa" w:w="2000"/>
            <w:tcMar>
              <w:top w:type="dxa" w:w="40"/>
              <w:left w:type="dxa" w:w="70"/>
              <w:bottom w:type="dxa" w:w="40"/>
              <w:right w:type="dxa" w:w="70"/>
            </w:tcMar>
            <w:vAlign w:val="top"/>
          </w:tcPr>
          <w:p>
            <w:pPr>
              <w:keepNext w:val="false"/>
              <w:keepLines/>
              <w:spacing w:after="0" w:line="240"/>
              <w:jc w:val="left"/>
            </w:pPr>
          </w:p>
        </w:tc>
      </w:tr>
    </w:tbl>
    <w:p>
      <w:pPr>
        <w:spacing w:after="120"/>
      </w:pPr>
    </w:p>
    <w:p>
      <w:pPr>
        <w:pageBreakBefore/>
        <w:spacing w:after="200"/>
      </w:pPr>
      <w:r>
        <w:rPr>
          <w:b/>
          <w:bCs/>
          <w:color w:val="1E5F57"/>
          <w:sz w:val="32"/>
          <w:szCs w:val="32"/>
        </w:rPr>
        <w:t xml:space="preserve">Съдържание</w:t>
      </w:r>
    </w:p>
    <w:sdt>
      <w:sdtPr>
        <w:docPartObj>
          <w:docPartGallery w:val="Table of Contents"/>
          <w:docPartUnique/>
        </w:docPartObj>
      </w:sdtPr>
      <w:sdtContent>
        <w:p>
          <w:pPr>
            <w:pStyle w:val="TOC1"/>
          </w:pPr>
          <w:r>
            <w:fldChar w:fldCharType="begin"/>
          </w:r>
          <w:r>
            <w:instrText xml:space="preserve"> TOC \o "1-2" \h \z \u </w:instrText>
          </w:r>
          <w:r>
            <w:fldChar w:fldCharType="separate"/>
          </w:r>
          <w:r>
            <w:t xml:space="preserve">1. Цел на документа и как се ползва</w:t>
          </w:r>
          <w:r>
            <w:tab/>
          </w:r>
          <w:r>
            <w:t>3</w:t>
          </w:r>
        </w:p>
        <w:p>
          <w:pPr>
            <w:pStyle w:val="TOC1"/>
          </w:pPr>
          <w:r>
            <w:t xml:space="preserve">2. Контекст и обхват</w:t>
          </w:r>
          <w:r>
            <w:tab/>
          </w:r>
          <w:r>
            <w:t>3</w:t>
          </w:r>
        </w:p>
        <w:p>
          <w:pPr>
            <w:pStyle w:val="TOC2"/>
          </w:pPr>
          <w:r>
            <w:t xml:space="preserve">2.1 Контекст и модел</w:t>
          </w:r>
          <w:r>
            <w:tab/>
          </w:r>
          <w:r>
            <w:t>3</w:t>
          </w:r>
        </w:p>
        <w:p>
          <w:pPr>
            <w:pStyle w:val="TOC2"/>
          </w:pPr>
          <w:r>
            <w:t xml:space="preserve">2.2 Обхват</w:t>
          </w:r>
          <w:r>
            <w:tab/>
          </w:r>
          <w:r>
            <w:t>4</w:t>
          </w:r>
        </w:p>
        <w:p>
          <w:pPr>
            <w:pStyle w:val="TOC2"/>
          </w:pPr>
          <w:r>
            <w:t xml:space="preserve">2.3 Обекти и количества</w:t>
          </w:r>
          <w:r>
            <w:tab/>
          </w:r>
          <w:r>
            <w:t>4</w:t>
          </w:r>
        </w:p>
        <w:p>
          <w:pPr>
            <w:pStyle w:val="TOC1"/>
          </w:pPr>
          <w:r>
            <w:t xml:space="preserve">3. Потребители и роли</w:t>
          </w:r>
          <w:r>
            <w:tab/>
          </w:r>
          <w:r>
            <w:t>4</w:t>
          </w:r>
        </w:p>
        <w:p>
          <w:pPr>
            <w:pStyle w:val="TOC1"/>
          </w:pPr>
          <w:r>
            <w:t xml:space="preserve">4. Функционални изисквания</w:t>
          </w:r>
          <w:r>
            <w:tab/>
          </w:r>
          <w:r>
            <w:t>5</w:t>
          </w:r>
        </w:p>
        <w:p>
          <w:pPr>
            <w:pStyle w:val="TOC2"/>
          </w:pPr>
          <w:r>
            <w:t xml:space="preserve">4.1 Засичане и сигнали</w:t>
          </w:r>
          <w:r>
            <w:tab/>
          </w:r>
          <w:r>
            <w:t>5</w:t>
          </w:r>
        </w:p>
        <w:p>
          <w:pPr>
            <w:pStyle w:val="TOC2"/>
          </w:pPr>
          <w:r>
            <w:t xml:space="preserve">4.2 Правила и график</w:t>
          </w:r>
          <w:r>
            <w:tab/>
          </w:r>
          <w:r>
            <w:t>6</w:t>
          </w:r>
        </w:p>
        <w:p>
          <w:pPr>
            <w:pStyle w:val="TOC2"/>
          </w:pPr>
          <w:r>
            <w:t xml:space="preserve">4.3 Ескалация и известяване</w:t>
          </w:r>
          <w:r>
            <w:tab/>
          </w:r>
          <w:r>
            <w:t>6</w:t>
          </w:r>
        </w:p>
        <w:p>
          <w:pPr>
            <w:pStyle w:val="TOC2"/>
          </w:pPr>
          <w:r>
            <w:t xml:space="preserve">4.4 Регистър на инцидентите</w:t>
          </w:r>
          <w:r>
            <w:tab/>
          </w:r>
          <w:r>
            <w:t>7</w:t>
          </w:r>
        </w:p>
        <w:p>
          <w:pPr>
            <w:pStyle w:val="TOC2"/>
          </w:pPr>
          <w:r>
            <w:t xml:space="preserve">4.5 Табло на градината (уеб)</w:t>
          </w:r>
          <w:r>
            <w:tab/>
          </w:r>
          <w:r>
            <w:t>7</w:t>
          </w:r>
        </w:p>
        <w:p>
          <w:pPr>
            <w:pStyle w:val="TOC2"/>
          </w:pPr>
          <w:r>
            <w:t xml:space="preserve">4.6 Табло на общината и национален преглед за МОН (уеб)</w:t>
          </w:r>
          <w:r>
            <w:tab/>
          </w:r>
          <w:r>
            <w:t>7</w:t>
          </w:r>
        </w:p>
        <w:p>
          <w:pPr>
            <w:pStyle w:val="TOC2"/>
          </w:pPr>
          <w:r>
            <w:t xml:space="preserve">4.7 Приложение за персонала (iOS и Android) или мобилна уеб версия</w:t>
          </w:r>
          <w:r>
            <w:tab/>
          </w:r>
          <w:r>
            <w:t>8</w:t>
          </w:r>
        </w:p>
        <w:p>
          <w:pPr>
            <w:pStyle w:val="TOC2"/>
          </w:pPr>
          <w:r>
            <w:t xml:space="preserve">4.8 Администрация</w:t>
          </w:r>
          <w:r>
            <w:tab/>
          </w:r>
          <w:r>
            <w:t>8</w:t>
          </w:r>
        </w:p>
        <w:p>
          <w:pPr>
            <w:pStyle w:val="TOC2"/>
          </w:pPr>
          <w:r>
            <w:t xml:space="preserve">4.9 Журнал и съответствие</w:t>
          </w:r>
          <w:r>
            <w:tab/>
          </w:r>
          <w:r>
            <w:t>9</w:t>
          </w:r>
        </w:p>
        <w:p>
          <w:pPr>
            <w:pStyle w:val="TOC2"/>
          </w:pPr>
          <w:r>
            <w:t xml:space="preserve">4.10 Отчети</w:t>
          </w:r>
          <w:r>
            <w:tab/>
          </w:r>
          <w:r>
            <w:t>9</w:t>
          </w:r>
        </w:p>
        <w:p>
          <w:pPr>
            <w:pStyle w:val="TOC2"/>
          </w:pPr>
          <w:r>
            <w:t xml:space="preserve">4.11 Интеграции</w:t>
          </w:r>
          <w:r>
            <w:tab/>
          </w:r>
          <w:r>
            <w:t>9</w:t>
          </w:r>
        </w:p>
        <w:p>
          <w:pPr>
            <w:pStyle w:val="TOC2"/>
          </w:pPr>
          <w:r>
            <w:t xml:space="preserve">4.12 Портата и дворът: сигнал на място и катерене</w:t>
          </w:r>
          <w:r>
            <w:tab/>
          </w:r>
          <w:r>
            <w:t>10</w:t>
          </w:r>
        </w:p>
        <w:p>
          <w:pPr>
            <w:pStyle w:val="TOC2"/>
          </w:pPr>
          <w:r>
            <w:t xml:space="preserve">4.13 Метки на децата: автоматично предаване и вземане (О8) и зони в двора (О9)</w:t>
          </w:r>
          <w:r>
            <w:tab/>
          </w:r>
          <w:r>
            <w:t>10</w:t>
          </w:r>
        </w:p>
        <w:p>
          <w:pPr>
            <w:pStyle w:val="TOC1"/>
          </w:pPr>
          <w:r>
            <w:t xml:space="preserve">5. Нефункционални изисквания</w:t>
          </w:r>
          <w:r>
            <w:tab/>
          </w:r>
          <w:r>
            <w:t>12</w:t>
          </w:r>
        </w:p>
        <w:p>
          <w:pPr>
            <w:pStyle w:val="TOC1"/>
          </w:pPr>
          <w:r>
            <w:t xml:space="preserve">6. Архитектура и интерфейси</w:t>
          </w:r>
          <w:r>
            <w:tab/>
          </w:r>
          <w:r>
            <w:t>14</w:t>
          </w:r>
        </w:p>
        <w:p>
          <w:pPr>
            <w:pStyle w:val="TOC2"/>
          </w:pPr>
          <w:r>
            <w:t xml:space="preserve">6.1 Слоеве</w:t>
          </w:r>
          <w:r>
            <w:tab/>
          </w:r>
          <w:r>
            <w:t>14</w:t>
          </w:r>
        </w:p>
        <w:p>
          <w:pPr>
            <w:pStyle w:val="TOC2"/>
          </w:pPr>
          <w:r>
            <w:t xml:space="preserve">6.2 Интерфейси</w:t>
          </w:r>
          <w:r>
            <w:tab/>
          </w:r>
          <w:r>
            <w:t>15</w:t>
          </w:r>
        </w:p>
        <w:p>
          <w:pPr>
            <w:pStyle w:val="TOC2"/>
          </w:pPr>
          <w:r>
            <w:t xml:space="preserve">6.3 Марки и еквиваленти</w:t>
          </w:r>
          <w:r>
            <w:tab/>
          </w:r>
          <w:r>
            <w:t>16</w:t>
          </w:r>
        </w:p>
        <w:p>
          <w:pPr>
            <w:pStyle w:val="TOC1"/>
          </w:pPr>
          <w:r>
            <w:t xml:space="preserve">7. Пакет за обекта (Перо 1)</w:t>
          </w:r>
          <w:r>
            <w:tab/>
          </w:r>
          <w:r>
            <w:t>17</w:t>
          </w:r>
        </w:p>
        <w:p>
          <w:pPr>
            <w:pStyle w:val="TOC2"/>
          </w:pPr>
          <w:r>
            <w:t xml:space="preserve">7.1 Минимален състав на пакета</w:t>
          </w:r>
          <w:r>
            <w:tab/>
          </w:r>
          <w:r>
            <w:t>17</w:t>
          </w:r>
        </w:p>
        <w:p>
          <w:pPr>
            <w:pStyle w:val="TOC2"/>
          </w:pPr>
          <w:r>
            <w:t xml:space="preserve">7.2 Изисквания към монтажа</w:t>
          </w:r>
          <w:r>
            <w:tab/>
          </w:r>
          <w:r>
            <w:t>18</w:t>
          </w:r>
        </w:p>
        <w:p>
          <w:pPr>
            <w:pStyle w:val="TOC2"/>
          </w:pPr>
          <w:r>
            <w:t xml:space="preserve">7.3 Документация при предаване на обекта</w:t>
          </w:r>
          <w:r>
            <w:tab/>
          </w:r>
          <w:r>
            <w:t>18</w:t>
          </w:r>
        </w:p>
        <w:p>
          <w:pPr>
            <w:pStyle w:val="TOC1"/>
          </w:pPr>
          <w:r>
            <w:t xml:space="preserve">8. Приемане</w:t>
          </w:r>
          <w:r>
            <w:tab/>
          </w:r>
          <w:r>
            <w:t>18</w:t>
          </w:r>
        </w:p>
        <w:p>
          <w:pPr>
            <w:pStyle w:val="TOC2"/>
          </w:pPr>
          <w:r>
            <w:t xml:space="preserve">8.1 Приемни сценарии</w:t>
          </w:r>
          <w:r>
            <w:tab/>
          </w:r>
          <w:r>
            <w:t>19</w:t>
          </w:r>
        </w:p>
        <w:p>
          <w:pPr>
            <w:pStyle w:val="TOC2"/>
          </w:pPr>
          <w:r>
            <w:t xml:space="preserve">8.2 Цели за приемане на всеки обект</w:t>
          </w:r>
          <w:r>
            <w:tab/>
          </w:r>
          <w:r>
            <w:t>20</w:t>
          </w:r>
        </w:p>
        <w:p>
          <w:pPr>
            <w:pStyle w:val="TOC1"/>
          </w:pPr>
          <w:r>
            <w:t xml:space="preserve">9. Изпълнение и годишна услуга</w:t>
          </w:r>
          <w:r>
            <w:tab/>
          </w:r>
          <w:r>
            <w:t>20</w:t>
          </w:r>
        </w:p>
        <w:p>
          <w:pPr>
            <w:pStyle w:val="TOC2"/>
          </w:pPr>
          <w:r>
            <w:t xml:space="preserve">9.1 График</w:t>
          </w:r>
          <w:r>
            <w:tab/>
          </w:r>
          <w:r>
            <w:t>20</w:t>
          </w:r>
        </w:p>
        <w:p>
          <w:pPr>
            <w:pStyle w:val="TOC2"/>
          </w:pPr>
          <w:r>
            <w:t xml:space="preserve">9.2 Резултати за предаване на всеки обект</w:t>
          </w:r>
          <w:r>
            <w:tab/>
          </w:r>
          <w:r>
            <w:t>20</w:t>
          </w:r>
        </w:p>
        <w:p>
          <w:pPr>
            <w:pStyle w:val="TOC2"/>
          </w:pPr>
          <w:r>
            <w:t xml:space="preserve">9.3 Права върху данните и оборудването</w:t>
          </w:r>
          <w:r>
            <w:tab/>
          </w:r>
          <w:r>
            <w:t>21</w:t>
          </w:r>
        </w:p>
        <w:p>
          <w:pPr>
            <w:pStyle w:val="TOC2"/>
          </w:pPr>
          <w:r>
            <w:t xml:space="preserve">9.4 Годишна услуга (Перо 2)</w:t>
          </w:r>
          <w:r>
            <w:tab/>
          </w:r>
          <w:r>
            <w:t>21</w:t>
          </w:r>
        </w:p>
        <w:p>
          <w:pPr>
            <w:pStyle w:val="TOC2"/>
          </w:pPr>
          <w:r>
            <w:t xml:space="preserve">9.5 Поддръжка и SLA</w:t>
          </w:r>
          <w:r>
            <w:tab/>
          </w:r>
          <w:r>
            <w:t>21</w:t>
          </w:r>
        </w:p>
        <w:p>
          <w:pPr>
            <w:pStyle w:val="TOC1"/>
          </w:pPr>
          <w:r>
            <w:t xml:space="preserve">10. Правна рамка и задължения на партньора</w:t>
          </w:r>
          <w:r>
            <w:tab/>
          </w:r>
          <w:r>
            <w:t>21</w:t>
          </w:r>
        </w:p>
        <w:p>
          <w:pPr>
            <w:pStyle w:val="TOC1"/>
          </w:pPr>
          <w:r>
            <w:t xml:space="preserve">11. Оферта на партньора и ценови таблици</w:t>
          </w:r>
          <w:r>
            <w:tab/>
          </w:r>
          <w:r>
            <w:t>23</w:t>
          </w:r>
        </w:p>
        <w:p>
          <w:pPr>
            <w:pStyle w:val="TOC2"/>
          </w:pPr>
          <w:r>
            <w:t xml:space="preserve">11.1 Съдържание на офертата</w:t>
          </w:r>
          <w:r>
            <w:tab/>
          </w:r>
          <w:r>
            <w:t>23</w:t>
          </w:r>
        </w:p>
        <w:p>
          <w:pPr>
            <w:pStyle w:val="TOC2"/>
          </w:pPr>
          <w:r>
            <w:t xml:space="preserve">11.2 Ценови таблици</w:t>
          </w:r>
          <w:r>
            <w:tab/>
          </w:r>
          <w:r>
            <w:t>23</w:t>
          </w:r>
        </w:p>
        <w:p>
          <w:pPr>
            <w:pStyle w:val="TOC1"/>
          </w:pPr>
          <w:r>
            <w:t xml:space="preserve">12. Сертифициране на партньорите</w:t>
          </w:r>
          <w:r>
            <w:tab/>
          </w:r>
          <w:r>
            <w:t>24</w:t>
          </w:r>
        </w:p>
        <w:p>
          <w:pPr>
            <w:pStyle w:val="TOC1"/>
          </w:pPr>
          <w:r>
            <w:t xml:space="preserve">Приложение А. Речник на термините</w:t>
          </w:r>
          <w:r>
            <w:tab/>
          </w:r>
          <w:r>
            <w:t>25</w:t>
          </w:r>
        </w:p>
        <w:p>
          <w:pPr>
            <w:pStyle w:val="TOC1"/>
          </w:pPr>
          <w:r>
            <w:t xml:space="preserve">Приложение Б. Примерен сценарий на сигнал</w:t>
          </w:r>
          <w:r>
            <w:tab/>
          </w:r>
          <w:r>
            <w:t>26</w:t>
          </w:r>
          <w:r>
            <w:fldChar w:fldCharType="end"/>
          </w:r>
        </w:p>
      </w:sdtContent>
    </w:sdt>
    <w:p>
      <w:pPr>
        <w:pStyle w:val="Heading1"/>
        <w:pageBreakBefore/>
      </w:pPr>
      <w:r>
        <w:t xml:space="preserve">1. Цел на документа и как се ползва</w:t>
      </w:r>
    </w:p>
    <w:p>
      <w:pPr>
        <w:spacing w:after="100"/>
      </w:pPr>
      <w:r>
        <w:t xml:space="preserve">Документът е приложение към указанията на МОН за новия модул на НП „Осигуряване на съвременна, сигурна и достъпна образователна среда“. KAI (Kindergarden AI) подава сигнал до персонала на детската градина, когато дете излезе от безопасната зона. Документът описва какво трябва да прави системата, какво съдържа пакетът за всеки обект, как се приема обектът и какво включва годишната услуга.</w:t>
      </w:r>
    </w:p>
    <w:p>
      <w:pPr>
        <w:spacing w:after="100"/>
      </w:pPr>
      <w:r>
        <w:t xml:space="preserve">Ползват го детските градини, когато сключват договорите, и сертифицираните партньори (национални оператори и интегратори), когато оферират и изпълняват. Всяка градина сключва два директни договора със сертифициран партньор. Цените в документа са в евро без ДДС, освен където е посочено друго.</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700"/>
        <w:gridCol w:w="1500"/>
        <w:gridCol w:w="4238"/>
        <w:gridCol w:w="2200"/>
      </w:tblGrid>
      <w:tr>
        <w:trPr>
          <w:cantSplit/>
          <w:tblHeader/>
        </w:trPr>
        <w:tc>
          <w:tcPr>
            <w:tcW w:type="dxa" w:w="1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Перо</w:t>
            </w:r>
          </w:p>
        </w:tc>
        <w:tc>
          <w:tcPr>
            <w:tcW w:type="dxa" w:w="1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Договор</w:t>
            </w:r>
          </w:p>
        </w:tc>
        <w:tc>
          <w:tcPr>
            <w:tcW w:type="dxa" w:w="4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Какво включва</w:t>
            </w:r>
          </w:p>
        </w:tc>
        <w:tc>
          <w:tcPr>
            <w:tcW w:type="dxa" w:w="22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Максимален бюджет</w:t>
            </w:r>
          </w:p>
        </w:tc>
      </w:tr>
      <w:tr>
        <w:trPr>
          <w:cantSplit/>
        </w:trPr>
        <w:tc>
          <w:tcPr>
            <w:tcW w:type="dxa" w:w="1700"/>
            <w:tcMar>
              <w:top w:type="dxa" w:w="40"/>
              <w:left w:type="dxa" w:w="70"/>
              <w:bottom w:type="dxa" w:w="40"/>
              <w:right w:type="dxa" w:w="70"/>
            </w:tcMar>
            <w:vAlign w:val="top"/>
          </w:tcPr>
          <w:p>
            <w:pPr>
              <w:keepNext w:val="false"/>
              <w:keepLines/>
              <w:spacing w:after="0" w:line="240"/>
              <w:jc w:val="left"/>
            </w:pPr>
            <w:r>
              <w:rPr>
                <w:b/>
                <w:bCs/>
                <w:sz w:val="16"/>
                <w:szCs w:val="16"/>
              </w:rPr>
              <w:t xml:space="preserve">Перо 1 · Пакет за обекта</w:t>
            </w:r>
          </w:p>
        </w:tc>
        <w:tc>
          <w:tcPr>
            <w:tcW w:type="dxa" w:w="1500"/>
            <w:tcMar>
              <w:top w:type="dxa" w:w="40"/>
              <w:left w:type="dxa" w:w="70"/>
              <w:bottom w:type="dxa" w:w="40"/>
              <w:right w:type="dxa" w:w="70"/>
            </w:tcMar>
            <w:vAlign w:val="top"/>
          </w:tcPr>
          <w:p>
            <w:pPr>
              <w:keepNext w:val="false"/>
              <w:keepLines/>
              <w:spacing w:after="0" w:line="240"/>
              <w:jc w:val="left"/>
            </w:pPr>
            <w:r>
              <w:rPr>
                <w:sz w:val="16"/>
                <w:szCs w:val="16"/>
              </w:rPr>
              <w:t xml:space="preserve">Договор 1, еднократно, на обект</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Камери, анализ, лицензи, локален запис, отделна мрежа, сигнал на място, монтаж и обучение, 5 години поддръжка, гаранция и свързаност (раздел 7).</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до 22 400 € без ДДС (26 880 € с ДДС) на обект</w:t>
            </w:r>
          </w:p>
        </w:tc>
      </w:tr>
      <w:tr>
        <w:trPr>
          <w:cantSplit/>
        </w:trPr>
        <w:tc>
          <w:tcPr>
            <w:tcW w:type="dxa" w:w="1700"/>
            <w:tcMar>
              <w:top w:type="dxa" w:w="40"/>
              <w:left w:type="dxa" w:w="70"/>
              <w:bottom w:type="dxa" w:w="40"/>
              <w:right w:type="dxa" w:w="70"/>
            </w:tcMar>
            <w:vAlign w:val="top"/>
          </w:tcPr>
          <w:p>
            <w:pPr>
              <w:keepNext w:val="false"/>
              <w:keepLines/>
              <w:spacing w:after="0" w:line="240"/>
              <w:jc w:val="left"/>
            </w:pPr>
            <w:r>
              <w:rPr>
                <w:b/>
                <w:bCs/>
                <w:sz w:val="16"/>
                <w:szCs w:val="16"/>
              </w:rPr>
              <w:t xml:space="preserve">Перо 2 · Годишна услуга</w:t>
            </w:r>
          </w:p>
        </w:tc>
        <w:tc>
          <w:tcPr>
            <w:tcW w:type="dxa" w:w="1500"/>
            <w:tcMar>
              <w:top w:type="dxa" w:w="40"/>
              <w:left w:type="dxa" w:w="70"/>
              <w:bottom w:type="dxa" w:w="40"/>
              <w:right w:type="dxa" w:w="70"/>
            </w:tcMar>
            <w:vAlign w:val="top"/>
          </w:tcPr>
          <w:p>
            <w:pPr>
              <w:keepNext w:val="false"/>
              <w:keepLines/>
              <w:spacing w:after="0" w:line="240"/>
              <w:jc w:val="left"/>
            </w:pPr>
            <w:r>
              <w:rPr>
                <w:sz w:val="16"/>
                <w:szCs w:val="16"/>
              </w:rPr>
              <w:t xml:space="preserve">Договор 2, всяка година, на дете</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Платформа KAI, правила и сигнали, мониторинг и поддръжка, обслужване от партньора, отчети, интеграция с електронните дневници, обновяване, сигурност, годишен одит (раздел 9.4).</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до 27 € без ДДС (32,40 € с ДДС) на дете годишно</w:t>
            </w:r>
          </w:p>
        </w:tc>
      </w:tr>
      <w:tr>
        <w:trPr>
          <w:cantSplit/>
        </w:trPr>
        <w:tc>
          <w:tcPr>
            <w:tcW w:type="dxa" w:w="1700"/>
            <w:tcMar>
              <w:top w:type="dxa" w:w="40"/>
              <w:left w:type="dxa" w:w="70"/>
              <w:bottom w:type="dxa" w:w="40"/>
              <w:right w:type="dxa" w:w="70"/>
            </w:tcMar>
            <w:vAlign w:val="top"/>
          </w:tcPr>
          <w:p>
            <w:pPr>
              <w:keepNext w:val="false"/>
              <w:keepLines/>
              <w:spacing w:after="0" w:line="240"/>
              <w:jc w:val="left"/>
            </w:pPr>
            <w:r>
              <w:rPr>
                <w:b/>
                <w:bCs/>
                <w:sz w:val="16"/>
                <w:szCs w:val="16"/>
              </w:rPr>
              <w:t xml:space="preserve">Опции О8 и О9</w:t>
            </w:r>
          </w:p>
        </w:tc>
        <w:tc>
          <w:tcPr>
            <w:tcW w:type="dxa" w:w="1500"/>
            <w:tcMar>
              <w:top w:type="dxa" w:w="40"/>
              <w:left w:type="dxa" w:w="70"/>
              <w:bottom w:type="dxa" w:w="40"/>
              <w:right w:type="dxa" w:w="70"/>
            </w:tcMar>
            <w:vAlign w:val="top"/>
          </w:tcPr>
          <w:p>
            <w:pPr>
              <w:keepNext w:val="false"/>
              <w:keepLines/>
              <w:spacing w:after="0" w:line="240"/>
              <w:jc w:val="left"/>
            </w:pPr>
            <w:r>
              <w:rPr>
                <w:sz w:val="16"/>
                <w:szCs w:val="16"/>
              </w:rPr>
              <w:t xml:space="preserve">отделно, извън двете пера</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О8 автоматично предаване и вземане с метки; О9 зони в двора (раздел 4.13). По избор на общината и родителите.</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ориентир ≈33 € и ≈13 € на дете годишно (оценка)</w:t>
            </w:r>
          </w:p>
        </w:tc>
      </w:tr>
    </w:tbl>
    <w:p>
      <w:pPr>
        <w:spacing w:after="120"/>
      </w:pPr>
    </w:p>
    <w:p>
      <w:pPr>
        <w:spacing w:after="100"/>
      </w:pPr>
      <w:r>
        <w:rPr>
          <w:b/>
          <w:bCs/>
        </w:rPr>
        <w:t xml:space="preserve">Партньорът представя на градината:</w:t>
      </w:r>
    </w:p>
    <w:p>
      <w:pPr>
        <w:pStyle w:val="ListParagraph"/>
        <w:numPr>
          <w:ilvl w:val="0"/>
          <w:numId w:val="2"/>
        </w:numPr>
        <w:spacing w:after="50"/>
      </w:pPr>
      <w:r>
        <w:t xml:space="preserve">техническо предложение, което отговаря на разделите 4 до 9;</w:t>
      </w:r>
    </w:p>
    <w:p>
      <w:pPr>
        <w:pStyle w:val="ListParagraph"/>
        <w:numPr>
          <w:ilvl w:val="0"/>
          <w:numId w:val="2"/>
        </w:numPr>
        <w:spacing w:after="50"/>
      </w:pPr>
      <w:r>
        <w:t xml:space="preserve">попълнена таблица на съответствието: за всяко изискване FR и NFR отговор „изпълнява“, „частично“ или „не изпълнява“ и кратък коментар;</w:t>
      </w:r>
    </w:p>
    <w:p>
      <w:pPr>
        <w:pStyle w:val="ListParagraph"/>
        <w:numPr>
          <w:ilvl w:val="0"/>
          <w:numId w:val="2"/>
        </w:numPr>
        <w:spacing w:after="50"/>
      </w:pPr>
      <w:r>
        <w:t xml:space="preserve">попълнени ценови таблици от раздел 11, без промяна на позициите и в рамките на максималните бюджети; при еквивалент марка и модел на предлагания продукт;</w:t>
      </w:r>
    </w:p>
    <w:p>
      <w:pPr>
        <w:pStyle w:val="ListParagraph"/>
        <w:numPr>
          <w:ilvl w:val="0"/>
          <w:numId w:val="2"/>
        </w:numPr>
        <w:spacing w:after="50"/>
      </w:pPr>
      <w:r>
        <w:t xml:space="preserve">документ за сертификация от KAI (раздел 12) и срок за оглед, монтаж и приемане на обекта по графика от раздел 9.</w:t>
      </w:r>
    </w:p>
    <w:p>
      <w:pPr>
        <w:spacing w:after="100" w:before="120"/>
      </w:pPr>
      <w:r>
        <w:rPr>
          <w:b/>
          <w:bCs/>
        </w:rPr>
        <w:t xml:space="preserve">Как се четат изискванията.</w:t>
      </w:r>
      <w:r>
        <w:t xml:space="preserve"> Спецификацията съдържа 83 функционални (FR) и 34 нефункционални (NFR) изисквания. „Трябва“ и приоритет „Задължително“ означават условие за приемане. „Желателно“ е предимство, но липсата му не спира приемането. „Опция“ е задължително само ако опцията е оферирана и възложена. Посочените марки описват изискваното ниво. Навсякъде, където е посочена марка или модел, се допуска </w:t>
      </w:r>
      <w:r>
        <w:rPr>
          <w:b/>
          <w:bCs/>
        </w:rPr>
        <w:t xml:space="preserve">„или еквивалент“</w:t>
      </w:r>
      <w:r>
        <w:t xml:space="preserve"> (раздел 6.3).</w:t>
      </w:r>
    </w:p>
    <w:p>
      <w:pPr>
        <w:spacing w:after="100"/>
      </w:pPr>
      <w:r>
        <w:rPr>
          <w:b/>
          <w:bCs/>
        </w:rPr>
        <w:t xml:space="preserve">Кой какво изпълнява.</w:t>
      </w:r>
      <w:r>
        <w:t xml:space="preserve"> Изискванията към платформата (раздели 4 и 5) се изпълняват от платформата KAI, която партньорът предоставя в годишната услуга. Изискванията към обекта (раздели 7 и 8) изпълнява партньорът. Платформата е обща за всички градини. Партньорът свързва обекта с нея, монтира, обслужва и е първа линия за градината.</w:t>
      </w:r>
    </w:p>
    <w:p>
      <w:pPr>
        <w:pStyle w:val="Heading1"/>
      </w:pPr>
      <w:r>
        <w:t xml:space="preserve">2. Контекст и обхват</w:t>
      </w:r>
    </w:p>
    <w:p>
      <w:pPr>
        <w:pStyle w:val="Heading2"/>
      </w:pPr>
      <w:r>
        <w:t xml:space="preserve">2.1 Контекст и модел</w:t>
      </w:r>
    </w:p>
    <w:p>
      <w:pPr>
        <w:spacing w:after="100"/>
      </w:pPr>
      <w:r>
        <w:t xml:space="preserve">KAI е платформа за ранно предупреждение, когато дете напусне двора или портата на детската градина без придружител. Засичането се купува от утвърдени производители: анализ в камерата на портите, която мери ръста в метри, и анализ на сървъра за оградата. KAI приема събитията от видео сървъра и от сензорите на портите, прилага правилата на градината (график, режим „двор“, нисък обект без придружител) и води сигнала до персонала, докато някой не го потвърди. Видеото остава в градината. Към общината и МОН отиват само обобщени данни. Качеството на сигналите зависи главно от основата: камери, монтаж, мрежа, захранване и настройка на видео сървъра.</w:t>
      </w:r>
    </w:p>
    <w:p>
      <w:pPr>
        <w:spacing w:after="100"/>
      </w:pPr>
      <w:r>
        <w:rPr>
          <w:b/>
          <w:bCs/>
        </w:rPr>
        <w:t xml:space="preserve">Финансиране.</w:t>
      </w:r>
      <w:r>
        <w:t xml:space="preserve"> МОН финансира системата чрез нов модул на НП „Осигуряване на съвременна, сигурна и достъпна образователна среда“ с две пера. Перо 1 е еднократно, на обект: до 22 400 € без ДДС (26 880 € с ДДС). Перо 2 е годишна услуга, на дете: до 27 € без ДДС (32,40 € с ДДС), по броя на децата в НЕИСПУО.</w:t>
      </w:r>
    </w:p>
    <w:p>
      <w:pPr>
        <w:spacing w:after="100"/>
      </w:pPr>
      <w:r>
        <w:rPr>
          <w:b/>
          <w:bCs/>
        </w:rPr>
        <w:t xml:space="preserve">Покупка.</w:t>
      </w:r>
      <w:r>
        <w:t xml:space="preserve"> Всяка градина сключва два директни договора със сертифициран партньор: договор 1 за пакета на обекта и договор 2 за годишната услуга, който се подписва всяка година. И двата договора са под прага за директно възлагане по ЗОП (около 35 800 €, да се потвърди от юрист). Затова няма процедура по ЗОП и няма рамково споразумение. МОН дава указанията, тази спецификация, списъка на сертифицираните решения и средствата.</w:t>
      </w:r>
    </w:p>
    <w:p>
      <w:pPr>
        <w:spacing w:after="100"/>
      </w:pPr>
      <w:r>
        <w:rPr>
          <w:b/>
          <w:bCs/>
        </w:rPr>
        <w:t xml:space="preserve">Без приложение за родителите.</w:t>
      </w:r>
      <w:r>
        <w:t xml:space="preserve"> KAI не прави собствено приложение за родители. Известията и присъствията за родителите минават само през съществуващите електронни дневници и НЕИСПУО чрез API. Електронните дневници вече се финансират по НП „ИКТ“ (изискване 7: интеграция чрез API).</w:t>
      </w:r>
    </w:p>
    <w:p>
      <w:pPr>
        <w:pStyle w:val="Heading2"/>
      </w:pPr>
      <w:r>
        <w:t xml:space="preserve">2.2 Обхват</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4819"/>
        <w:gridCol w:w="4819"/>
      </w:tblGrid>
      <w:tr>
        <w:trPr>
          <w:cantSplit/>
          <w:tblHeader/>
        </w:trPr>
        <w:tc>
          <w:tcPr>
            <w:tcW w:type="dxa" w:w="4819"/>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В обхвата</w:t>
            </w:r>
          </w:p>
        </w:tc>
        <w:tc>
          <w:tcPr>
            <w:tcW w:type="dxa" w:w="4819"/>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Извън обхвата</w:t>
            </w:r>
          </w:p>
        </w:tc>
      </w:tr>
      <w:tr>
        <w:trPr>
          <w:cantSplit/>
        </w:trPr>
        <w:tc>
          <w:tcPr>
            <w:tcW w:type="dxa" w:w="4819"/>
            <w:tcMar>
              <w:top w:type="dxa" w:w="40"/>
              <w:left w:type="dxa" w:w="70"/>
              <w:bottom w:type="dxa" w:w="40"/>
              <w:right w:type="dxa" w:w="70"/>
            </w:tcMar>
            <w:vAlign w:val="top"/>
          </w:tcPr>
          <w:p>
            <w:pPr>
              <w:keepNext w:val="false"/>
              <w:keepLines/>
              <w:spacing w:after="0" w:line="240"/>
              <w:jc w:val="left"/>
            </w:pPr>
            <w:r>
              <w:rPr>
                <w:sz w:val="16"/>
                <w:szCs w:val="16"/>
              </w:rPr>
              <w:t xml:space="preserve">Оглед на обекта и проект на основата.</w:t>
            </w:r>
          </w:p>
          <w:p>
            <w:pPr>
              <w:keepNext w:val="false"/>
              <w:keepLines/>
              <w:spacing w:after="0" w:line="240"/>
              <w:jc w:val="left"/>
            </w:pPr>
            <w:r>
              <w:rPr>
                <w:sz w:val="16"/>
                <w:szCs w:val="16"/>
              </w:rPr>
              <w:t xml:space="preserve">Доставка, монтаж, калибриране и настройка на камерите на портите, камерите на двора и оградата и сензорите.</w:t>
            </w:r>
          </w:p>
          <w:p>
            <w:pPr>
              <w:keepNext w:val="false"/>
              <w:keepLines/>
              <w:spacing w:after="0" w:line="240"/>
              <w:jc w:val="left"/>
            </w:pPr>
            <w:r>
              <w:rPr>
                <w:sz w:val="16"/>
                <w:szCs w:val="16"/>
              </w:rPr>
              <w:t xml:space="preserve">Сигнал на място на портите и в двора: светлина и/или тих звук, без сирена.</w:t>
            </w:r>
          </w:p>
          <w:p>
            <w:pPr>
              <w:keepNext w:val="false"/>
              <w:keepLines/>
              <w:spacing w:after="0" w:line="240"/>
              <w:jc w:val="left"/>
            </w:pPr>
            <w:r>
              <w:rPr>
                <w:sz w:val="16"/>
                <w:szCs w:val="16"/>
              </w:rPr>
              <w:t xml:space="preserve">Локален запис и анализ, отделна мрежа, рутер, UPS.</w:t>
            </w:r>
          </w:p>
          <w:p>
            <w:pPr>
              <w:keepNext w:val="false"/>
              <w:keepLines/>
              <w:spacing w:after="0" w:line="240"/>
              <w:jc w:val="left"/>
            </w:pPr>
            <w:r>
              <w:rPr>
                <w:sz w:val="16"/>
                <w:szCs w:val="16"/>
              </w:rPr>
              <w:t xml:space="preserve">Свързаност за 5 години с 2 SIM карти от двама мобилни оператори в отделна частна мрежа.</w:t>
            </w:r>
          </w:p>
          <w:p>
            <w:pPr>
              <w:keepNext w:val="false"/>
              <w:keepLines/>
              <w:spacing w:after="0" w:line="240"/>
              <w:jc w:val="left"/>
            </w:pPr>
            <w:r>
              <w:rPr>
                <w:sz w:val="16"/>
                <w:szCs w:val="16"/>
              </w:rPr>
              <w:t xml:space="preserve">Платформа KAI и приложение или мобилна уеб версия за персонала.</w:t>
            </w:r>
          </w:p>
          <w:p>
            <w:pPr>
              <w:keepNext w:val="false"/>
              <w:keepLines/>
              <w:spacing w:after="0" w:line="240"/>
              <w:jc w:val="left"/>
            </w:pPr>
            <w:r>
              <w:rPr>
                <w:sz w:val="16"/>
                <w:szCs w:val="16"/>
              </w:rPr>
              <w:t xml:space="preserve">Интеграции с видео сървъра, сензорите, push, SMS и гласови обаждания, електронните дневници и НЕИСПУО.</w:t>
            </w:r>
          </w:p>
          <w:p>
            <w:pPr>
              <w:keepNext w:val="false"/>
              <w:keepLines/>
              <w:spacing w:after="0" w:line="240"/>
              <w:jc w:val="left"/>
            </w:pPr>
            <w:r>
              <w:rPr>
                <w:sz w:val="16"/>
                <w:szCs w:val="16"/>
              </w:rPr>
              <w:t xml:space="preserve">Приемане на всеки обект, документация, обучение, техническо приложение към ОВЗД.</w:t>
            </w:r>
          </w:p>
          <w:p>
            <w:pPr>
              <w:keepNext w:val="false"/>
              <w:keepLines/>
              <w:spacing w:after="0" w:line="240"/>
              <w:jc w:val="left"/>
            </w:pPr>
            <w:r>
              <w:rPr>
                <w:sz w:val="16"/>
                <w:szCs w:val="16"/>
              </w:rPr>
              <w:t xml:space="preserve">5 години поддръжка и гаранция на оборудването; годишна услуга по SLA.</w:t>
            </w:r>
          </w:p>
        </w:tc>
        <w:tc>
          <w:tcPr>
            <w:tcW w:type="dxa" w:w="4819"/>
            <w:tcMar>
              <w:top w:type="dxa" w:w="40"/>
              <w:left w:type="dxa" w:w="70"/>
              <w:bottom w:type="dxa" w:w="40"/>
              <w:right w:type="dxa" w:w="70"/>
            </w:tcMar>
            <w:vAlign w:val="top"/>
          </w:tcPr>
          <w:p>
            <w:pPr>
              <w:keepNext w:val="false"/>
              <w:keepLines/>
              <w:spacing w:after="0" w:line="240"/>
              <w:jc w:val="left"/>
            </w:pPr>
            <w:r>
              <w:rPr>
                <w:sz w:val="16"/>
                <w:szCs w:val="16"/>
              </w:rPr>
              <w:t xml:space="preserve">Лицево разпознаване и лицеви шаблони на деца, родители и персонал, включително за присъствия, достъп или вземане на децата.</w:t>
            </w:r>
          </w:p>
          <w:p>
            <w:pPr>
              <w:keepNext w:val="false"/>
              <w:keepLines/>
              <w:spacing w:after="0" w:line="240"/>
              <w:jc w:val="left"/>
            </w:pPr>
            <w:r>
              <w:rPr>
                <w:sz w:val="16"/>
                <w:szCs w:val="16"/>
              </w:rPr>
              <w:t xml:space="preserve">Оценка на възраст по лице.</w:t>
            </w:r>
          </w:p>
          <w:p>
            <w:pPr>
              <w:keepNext w:val="false"/>
              <w:keepLines/>
              <w:spacing w:after="0" w:line="240"/>
              <w:jc w:val="left"/>
            </w:pPr>
            <w:r>
              <w:rPr>
                <w:sz w:val="16"/>
                <w:szCs w:val="16"/>
              </w:rPr>
              <w:t xml:space="preserve">Разпознаване на емоции, поведение или „агресия“.</w:t>
            </w:r>
          </w:p>
          <w:p>
            <w:pPr>
              <w:keepNext w:val="false"/>
              <w:keepLines/>
              <w:spacing w:after="0" w:line="240"/>
              <w:jc w:val="left"/>
            </w:pPr>
            <w:r>
              <w:rPr>
                <w:sz w:val="16"/>
                <w:szCs w:val="16"/>
              </w:rPr>
              <w:t xml:space="preserve">Видео за родители, на живо или от запис.</w:t>
            </w:r>
          </w:p>
          <w:p>
            <w:pPr>
              <w:keepNext w:val="false"/>
              <w:keepLines/>
              <w:spacing w:after="0" w:line="240"/>
              <w:jc w:val="left"/>
            </w:pPr>
            <w:r>
              <w:rPr>
                <w:sz w:val="16"/>
                <w:szCs w:val="16"/>
              </w:rPr>
              <w:t xml:space="preserve">Собствено приложение за родители. Известията до родителите минават само през електронните дневници.</w:t>
            </w:r>
          </w:p>
          <w:p>
            <w:pPr>
              <w:keepNext w:val="false"/>
              <w:keepLines/>
              <w:spacing w:after="0" w:line="240"/>
              <w:jc w:val="left"/>
            </w:pPr>
            <w:r>
              <w:rPr>
                <w:sz w:val="16"/>
                <w:szCs w:val="16"/>
              </w:rPr>
              <w:t xml:space="preserve">Производство на камери и разработка на собствен анализ на видео.</w:t>
            </w:r>
          </w:p>
          <w:p>
            <w:pPr>
              <w:keepNext w:val="false"/>
              <w:keepLines/>
              <w:spacing w:after="0" w:line="240"/>
              <w:jc w:val="left"/>
            </w:pPr>
            <w:r>
              <w:rPr>
                <w:sz w:val="16"/>
                <w:szCs w:val="16"/>
              </w:rPr>
              <w:t xml:space="preserve">Наблюдение на сигналите от външен охранителен център или от партньора.</w:t>
            </w:r>
          </w:p>
          <w:p>
            <w:pPr>
              <w:keepNext w:val="false"/>
              <w:keepLines/>
              <w:spacing w:after="0" w:line="240"/>
              <w:jc w:val="left"/>
            </w:pPr>
            <w:r>
              <w:rPr>
                <w:sz w:val="16"/>
                <w:szCs w:val="16"/>
              </w:rPr>
              <w:t xml:space="preserve">Постоянен видеопоток към общината или МОН.</w:t>
            </w:r>
          </w:p>
          <w:p>
            <w:pPr>
              <w:keepNext w:val="false"/>
              <w:keepLines/>
              <w:spacing w:after="0" w:line="240"/>
              <w:jc w:val="left"/>
            </w:pPr>
            <w:r>
              <w:rPr>
                <w:sz w:val="16"/>
                <w:szCs w:val="16"/>
              </w:rPr>
              <w:t xml:space="preserve">Камери в групите, спалните, санитарните помещения и помещенията за лична хигиена.</w:t>
            </w:r>
          </w:p>
          <w:p>
            <w:pPr>
              <w:keepNext w:val="false"/>
              <w:keepLines/>
              <w:spacing w:after="0" w:line="240"/>
              <w:jc w:val="left"/>
            </w:pPr>
            <w:r>
              <w:rPr>
                <w:sz w:val="16"/>
                <w:szCs w:val="16"/>
              </w:rPr>
              <w:t xml:space="preserve">Оценка на работата на персонала.</w:t>
            </w:r>
          </w:p>
          <w:p>
            <w:pPr>
              <w:keepNext w:val="false"/>
              <w:keepLines/>
              <w:spacing w:after="0" w:line="240"/>
              <w:jc w:val="left"/>
            </w:pPr>
            <w:r>
              <w:rPr>
                <w:sz w:val="16"/>
                <w:szCs w:val="16"/>
              </w:rPr>
              <w:t xml:space="preserve">GPS, телефон или друго устройство с връзка навън за детето, история на местоположението за дни, проследяване извън градината, засичане на децата в сградата (освен входа при О9), анализ на движението на децата.</w:t>
            </w:r>
          </w:p>
        </w:tc>
      </w:tr>
    </w:tbl>
    <w:p>
      <w:pPr>
        <w:spacing w:after="120"/>
      </w:pPr>
    </w:p>
    <w:p>
      <w:pPr>
        <w:spacing w:after="100"/>
      </w:pPr>
      <w:r>
        <w:rPr>
          <w:b/>
          <w:bCs/>
        </w:rPr>
        <w:t xml:space="preserve">Забрана за лицево разпознаване.</w:t>
      </w:r>
      <w:r>
        <w:t xml:space="preserve"> Системата не трябва да използва лицево разпознаване на деца, родители и персонал за присъствия, достъп до градината или вземане на децата, включително като опция. Функциите за лице в купените продукти трябва да са изключени. Обосновката е в раздел 10.</w:t>
      </w:r>
    </w:p>
    <w:p>
      <w:pPr>
        <w:pStyle w:val="Heading2"/>
      </w:pPr>
      <w:r>
        <w:t xml:space="preserve">2.3 Обекти и количества</w:t>
      </w:r>
    </w:p>
    <w:p>
      <w:pPr>
        <w:spacing w:after="100"/>
      </w:pPr>
      <w:r>
        <w:t xml:space="preserve">Обхватът е 1 699 общински и държавни детски градини с около 200 000 деца (НСИ, учебна 2025/2026: 1 829 градини, от тях 130 частни). Частните градини могат да се включат със собствени средства по същата спецификация.</w:t>
      </w:r>
    </w:p>
    <w:p>
      <w:pPr>
        <w:spacing w:after="100"/>
      </w:pPr>
      <w:r>
        <w:rPr>
          <w:b/>
          <w:bCs/>
        </w:rPr>
        <w:t xml:space="preserve">Обект</w:t>
      </w:r>
      <w:r>
        <w:t xml:space="preserve"> е сграда на градината с двор. Пакетът по Перо 1 е за обект. Филиал на друг адрес със свой двор получава отделен пакет. Типовият обект има 2 порти, 6 камери (2 на портите и 4 за двора и оградата), 2 сензора на портите и средно около 118 деца. Примерите в документа са за ДГ № 1 „Слънце“ (132 деца, 5 групи, камери К1–К4 на оградата и площадката, B1 и B2 на портите, сензори S1 и S2). Всички данни в примерите са примерни. Примерни екрани на таблата и на приложението има на сайта на проекта https://kai.ecity.bg. Точните количества партньорът потвърждава след огледа на обекта.</w:t>
      </w:r>
    </w:p>
    <w:p>
      <w:pPr>
        <w:pStyle w:val="Heading1"/>
      </w:pPr>
      <w:r>
        <w:t xml:space="preserve">3. Потребители и роли</w:t>
      </w:r>
    </w:p>
    <w:p>
      <w:pPr>
        <w:spacing w:after="100"/>
      </w:pPr>
      <w:r>
        <w:t xml:space="preserve">Правата трябва да следват принципа на минималния достъп. Достъп до видео имат само лицата, определени писмено от директора. Всяко действие с видео влиза в журнала.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500"/>
        <w:gridCol w:w="1400"/>
        <w:gridCol w:w="2088"/>
        <w:gridCol w:w="1600"/>
        <w:gridCol w:w="1700"/>
        <w:gridCol w:w="1350"/>
      </w:tblGrid>
      <w:tr>
        <w:trPr>
          <w:cantSplit/>
          <w:tblHeader/>
        </w:trPr>
        <w:tc>
          <w:tcPr>
            <w:tcW w:type="dxa" w:w="1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Роля</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Получава сигнали</w:t>
            </w:r>
          </w:p>
        </w:tc>
        <w:tc>
          <w:tcPr>
            <w:tcW w:type="dxa" w:w="208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Вижда</w:t>
            </w:r>
          </w:p>
        </w:tc>
        <w:tc>
          <w:tcPr>
            <w:tcW w:type="dxa" w:w="1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Клип от видео</w:t>
            </w:r>
          </w:p>
        </w:tc>
        <w:tc>
          <w:tcPr>
            <w:tcW w:type="dxa" w:w="1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Настройва</w:t>
            </w:r>
          </w:p>
        </w:tc>
        <w:tc>
          <w:tcPr>
            <w:tcW w:type="dxa" w:w="135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Експорт</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Учител / дежурен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когато е дежурен по графика</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своя сигнал, режим „двор“, история на сигналите, регистъра за своята група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само ако е определен от директора</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режим „двор“ за своята група</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не</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Директор (и помощник-директор по график)</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всички за сведение; при ескалация с SMS и обаждане</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таблото на градината изцяло</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да, с основание; одобрява заявките за клип</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графици, зони, дежурства, профили на персонала</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ДЛЗД</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регистъра, журнала, сроковете, съответствието</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при проверка, с основание</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журнал, отчет за съответствие</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Общински координатор</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обобщение, без видео</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таблото на общината: състояние, сигнали, време до потвърждение, техника, съответствие</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само чрез заявка с основание, одобрена от директора</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не; отваря заявки към партньора</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обобщени отчети</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МОН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национален преглед: обобщени показатели по области и общини, без видео и имена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обобщени отчети</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Техническа поддръжка (сертифициран партньор)</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само технически сигнали</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устройства, сървъри, дискове, UPS, връзка, технически журнали</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само при настройка на място, с разрешение на директора и запис в журнала</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камери, линии, зони, прагове (след решение на директора)</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не</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Администратор на платформата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не</w:t>
            </w:r>
          </w:p>
        </w:tc>
        <w:tc>
          <w:tcPr>
            <w:tcW w:type="dxa" w:w="2088"/>
            <w:tcMar>
              <w:top w:type="dxa" w:w="40"/>
              <w:left w:type="dxa" w:w="70"/>
              <w:bottom w:type="dxa" w:w="40"/>
              <w:right w:type="dxa" w:w="70"/>
            </w:tcMar>
            <w:vAlign w:val="top"/>
          </w:tcPr>
          <w:p>
            <w:pPr>
              <w:keepNext w:val="false"/>
              <w:keepLines/>
              <w:spacing w:after="0" w:line="240"/>
              <w:jc w:val="left"/>
            </w:pPr>
            <w:r>
              <w:rPr>
                <w:sz w:val="16"/>
                <w:szCs w:val="16"/>
              </w:rPr>
              <w:t xml:space="preserve">конфигурацията на платформата и интеграциите</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не по подразбиране</w:t>
            </w:r>
          </w:p>
        </w:tc>
        <w:tc>
          <w:tcPr>
            <w:tcW w:type="dxa" w:w="1700"/>
            <w:tcMar>
              <w:top w:type="dxa" w:w="40"/>
              <w:left w:type="dxa" w:w="70"/>
              <w:bottom w:type="dxa" w:w="40"/>
              <w:right w:type="dxa" w:w="70"/>
            </w:tcMar>
            <w:vAlign w:val="top"/>
          </w:tcPr>
          <w:p>
            <w:pPr>
              <w:keepNext w:val="false"/>
              <w:keepLines/>
              <w:spacing w:after="0" w:line="240"/>
              <w:jc w:val="left"/>
            </w:pPr>
            <w:r>
              <w:rPr>
                <w:sz w:val="16"/>
                <w:szCs w:val="16"/>
              </w:rPr>
              <w:t xml:space="preserve">градини, роли, интеграции, системни настройки</w:t>
            </w:r>
          </w:p>
        </w:tc>
        <w:tc>
          <w:tcPr>
            <w:tcW w:type="dxa" w:w="1350"/>
            <w:tcMar>
              <w:top w:type="dxa" w:w="40"/>
              <w:left w:type="dxa" w:w="70"/>
              <w:bottom w:type="dxa" w:w="40"/>
              <w:right w:type="dxa" w:w="70"/>
            </w:tcMar>
            <w:vAlign w:val="top"/>
          </w:tcPr>
          <w:p>
            <w:pPr>
              <w:keepNext w:val="false"/>
              <w:keepLines/>
              <w:spacing w:after="0" w:line="240"/>
              <w:jc w:val="left"/>
            </w:pPr>
            <w:r>
              <w:rPr>
                <w:sz w:val="16"/>
                <w:szCs w:val="16"/>
              </w:rPr>
              <w:t xml:space="preserve">технически журнали</w:t>
            </w:r>
          </w:p>
        </w:tc>
      </w:tr>
    </w:tbl>
    <w:p>
      <w:pPr>
        <w:spacing w:after="120"/>
      </w:pPr>
    </w:p>
    <w:p>
      <w:pPr>
        <w:spacing w:after="100"/>
      </w:pPr>
      <w:r>
        <w:t xml:space="preserve">Кметът и заместник-кметът получават само месечните отчети. По подразбиране никой в общината и в МОН не вижда видео на живо, записи без одобрена заявка, лица, имена на деца и кой служител точно е потвърдил сигнала.</w:t>
      </w:r>
    </w:p>
    <w:p>
      <w:pPr>
        <w:pStyle w:val="Heading1"/>
      </w:pPr>
      <w:r>
        <w:t xml:space="preserve">4. Функционални изисквания</w:t>
      </w:r>
    </w:p>
    <w:p>
      <w:pPr>
        <w:spacing w:after="100"/>
      </w:pPr>
      <w:r>
        <w:t xml:space="preserve">Таблиците описват какво трябва да прави системата. Параметрите са стойности по подразбиране. Те трябва да се настройват без промяна на кода. Номерацията на сценариите в критериите е по раздел 8.</w:t>
      </w:r>
    </w:p>
    <w:p>
      <w:pPr>
        <w:pStyle w:val="Heading2"/>
      </w:pPr>
      <w:r>
        <w:t xml:space="preserve">4.1 Засичане и сигнали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Платформата трябва да приема от видео сървъра (Genetec Security Center или еквивалент) събитията от анализа на сървъра за оградата (KiwiVision или еквивалент: периметър, зона, посока, tailgating) и от анализа в камерите на портите (Bosch/IQSIGHT IVA Pro Perimeter или еквивалент). Всяко събитие носи камера, време, тип, ръст на обекта в метри (за портите) и посока.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Всяко събитие от сценарии 1–6 се вижда в платформата с всички полета.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Платформата трябва да приема от сензорите на портите (Shelly или еквивалент) състоянието „отворена“ или „затворена“ с точно време.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Отварянето на S1 и S2 се вижда в платформата. Сценарий 6.</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Платформата трябва да създава сигнал от четири вида: нисък обект без придружител; пресичане на ограда; порта отворена извън график; техническо. Всеки сигнал има уникален номер (напр. 2026-1006-01), зона, камера, сензор, обект (ръст, посока), приложено правило, групи навън и дежурен.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Всеки сигнал от приемането има всички полета.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Кадърът към сигнала трябва да е без разпознаваемо лице: силует или размиване (KiwiVision Privacy Protector или еквивалент).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 известието, в приложението и в таблото няма разпознаваемо лице.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При всеки сигнал видео сървърът трябва да пази клип от 20 с (10 с преди и 10 с след засичането) в градината, свързан със сигнала в регистъра.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Клипът е наличен от сигнала. Гледането изисква право (FR-50).</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Платформата трябва да подава технически сигнал при загуба на връзка с камера, сензор или локален сървър, отпадане на единия мобилен оператор или на цялата връзка на обекта, UPS на батерия и диск над прага от 85%.</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8: технически сигнал до техническата поддръжка и директора до 1 мин.</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Всеки ден преди воденето (по подразбиране 07:00) системата трябва сама да проверява кадър от всяка камера, тестов сигнал от всеки сензор, записа за последните 24 ч, тестово известие до дежурния, връзката през двата оператора и времето на устройствата.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Резултатът се вижда в таблото. При неуспешна точка се подава технически сигнал.</w:t>
            </w:r>
          </w:p>
        </w:tc>
      </w:tr>
    </w:tbl>
    <w:p>
      <w:pPr>
        <w:spacing w:after="120"/>
      </w:pPr>
    </w:p>
    <w:p>
      <w:pPr>
        <w:pStyle w:val="Heading2"/>
      </w:pPr>
      <w:r>
        <w:t xml:space="preserve">4.2 Правила и график</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Правило „нисък обект без придружител“: сигнал, когато обект с ръст под прага за нисък обект (1,30 m) пресече линията на портата навън и в прозореца ±5 с и радиус 2 m няма висок обект (над 1,50 m). Присъствие под 0,8 с в зоната не дава сигнал.</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Сценарии 1–3: ≥ 95% засечени при сам нисък обект, 0 сигнала при придружител.</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FR-09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Известието трябва да тръгва веднага след засичането, без да чака края на прозореца за придружител. Ако висок обект се появи до детето в оставащите секунди, сигналът се отбелязва като „вероятно фалшив“ и остава за преглед.</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 известие ≤ 5 с. Сценарий 3 с придружител след известието: сигналът е отбелязан.</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Параметрите на правилото (праг за нисък и висок обект, прозорец, радиус, минимално време, време за ескалация) трябва да се настройват за всяка порта. Промяна прави само техническата поддръжка след решение на директора.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Промяна от друга роля е отказана. Промяната е в журнала с роля, час, стара и нова стойност.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Седмичен график на портите: за водене (напр. 07:00–08:30) и прибиране (напр. 16:30–18:30) на Порта 1 се подава само сигнал „нисък обект без придружител“. Извън графика всяко отваряне на портата и всеки нисък обект на линията дават сигнал.</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Отваряне на Порта 1 по време на воденето не дава сигнал. Отваряне извън графика дава сигнал (сценарий 6).</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Режим „двор“ по график на групите (група, дни, часове) и ръчно от учителя. Оградата се наблюдава само докато поне една група е навън. Включват се само участъците, свързани с групите навън (напр. Ограда Запад при група с отделна площадка).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5: при изключен режим пресичане на оградата не дава сигнал, при включен дава.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Зони: всяка зона (порта, участък от ограда, площадка) има камера, сензор, вид анализ, кога се наблюдава и правило. Зоните в платформата се свързват с линиите и зоните, настроени във видео сървъра.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Таблицата на зоните в таблото съвпада с конфигурацията във видео сървъра.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Маркиране на сигнал като фалшив с причина от списък (наведен възрастен, придружителят е закрит, животно, клон в зоната, сянка, друго). Данните служат за донастройка на линиите и праговете.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Причината се вижда в регистъра и в обобщението на фалшивите сигнали.</w:t>
            </w:r>
          </w:p>
        </w:tc>
      </w:tr>
    </w:tbl>
    <w:p>
      <w:pPr>
        <w:spacing w:after="120"/>
      </w:pPr>
    </w:p>
    <w:p>
      <w:pPr>
        <w:pStyle w:val="Heading2"/>
      </w:pPr>
      <w:r>
        <w:t xml:space="preserve">4.3 Ескалация и известяване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При сигнал платформата трябва да изпрати критично известие до дежурния и до втория дежурен за зоната и часа по графика на дежурствата (0 с). Директорът вижда всички сигнали в таблото за сведение.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 и двамата дежурни получават известие ≤ 5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Верига на ескалация: без потвърждение до 30 с сигналът отива към втория дежурен с известие, SMS и обаждане; до 60 с към директора (при отсъствие помощник-директора) с известие, SMS и обаждане. Веригата трябва да поддържа поне още едно ниво (напр. 90 с). Сроковете се настройват.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7: ескалацията тръгва на 30 с и на 60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Резервните канали са SMS и гласово обаждане чрез доставчик в ЕС. SMS-ът не съдържа лични данни на детето. Гласовото съобщение казва портата и часа.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7: SMS и обаждане пристигат. Текстът е без лични данни.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Потвърждение „Отивам“ спира ескалацията. Всички известени и директорът виждат кой е поел сигнала. Платформата мери времето от засичането до потвърждението.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Времето до потвърждение е в регистъра с точност до 1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FR-19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Резултат при затваряне: „детето е върнато“; „не е открито“ (незабавно известие до директора и препратка към протокола за изчезнало дете); „фалшив сигнал“ с причина.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Сигнал не се затваря без резултат. „Не е открито“ известява директора.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Технически сигнали отиват към техническата поддръжка и директора, отделно от сигналите за дете.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8.</w:t>
            </w:r>
          </w:p>
        </w:tc>
      </w:tr>
    </w:tbl>
    <w:p>
      <w:pPr>
        <w:spacing w:after="120"/>
      </w:pPr>
    </w:p>
    <w:p>
      <w:pPr>
        <w:pStyle w:val="Heading2"/>
      </w:pPr>
      <w:r>
        <w:t xml:space="preserve">4.4 Регистър на инцидентите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Всеки сигнал влиза в регистъра с дата, час, зона, вид, реален, фалшив или технически, време до потвърждение, ескалация, резултат, роля на потвърдилия и връзка към клипа.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Всички сигнали от приемането са в регистъра с пълни данни.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Филтри по вид, реален или фалшив и период. Показатели за избрания период: брой събития, реални, фалшиви и фалшиви на ден, медиана до потвърждение, ескалации, непотвърдени, обобщение на причините за фалшивите сигнали.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Показателите съвпадат с ръчно преброяване върху тестовите данни.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Експорт на регистъра в CSV и месечен отчет в PDF.</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Файловете се отварят и съдържат всички записи за периода.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Към общината и МОН регистърът се предава само като събития и метаданни, без видео.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 данните към общината и МОН няма видео, кадри и имена на деца.</w:t>
            </w:r>
          </w:p>
        </w:tc>
      </w:tr>
    </w:tbl>
    <w:p>
      <w:pPr>
        <w:spacing w:after="120"/>
      </w:pPr>
    </w:p>
    <w:p>
      <w:pPr>
        <w:pStyle w:val="Heading2"/>
      </w:pPr>
      <w:r>
        <w:t xml:space="preserve">4.5 Табло на градината (уеб)</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„Сега“: камери и сензори в работа, групи на двора, сигнали днес, време до потвърждение, план на двора със зоните и тяхното състояние, хроника на деня.</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Промяна в състоянието се вижда в таблото без презареждане на страницата.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на сигнала: данни за сигнала, хронология секунда по секунда, кой е известен и статус на всеки, действия „отбележи резултат“, „поискай клип“ (с основание) и „маркирай като фалшив“.</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Хронологията на сценарий 1 съдържа всички стъпки с часове.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„График и зони“: седмичен график на портите и групите, таблица на зоните, параметрите на правилото (за директора само за четене).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Графикът и зоните съвпадат с администрацията.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„Персонал и дежурства“: дежурства по интервали, верига на ескалация, роли и права.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Промяна в дежурството се прилага за следващия сигнал.</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FR-29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„Техника“: статус на всяко устройство, последен кадър или сигнал, фърмуер, зает диск, автономия на UPS, връзка през двата оператора, резултат от ежедневната проверка.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Изключено устройство се показва като неработещо до 1 мин.</w:t>
            </w:r>
          </w:p>
        </w:tc>
      </w:tr>
    </w:tbl>
    <w:p>
      <w:pPr>
        <w:spacing w:after="120"/>
      </w:pPr>
    </w:p>
    <w:p>
      <w:pPr>
        <w:pStyle w:val="Heading2"/>
      </w:pPr>
      <w:r>
        <w:t xml:space="preserve">4.6 Табло на общината и национален преглед за МОН (уеб)</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Обзор на общината: градини на линия, работещи камери, сигнали днес (реални), непотвърдени, средно време до потвърждение, деца в обхвата; таблица по градини (състояние, сигнали, време до потвърждение, последно събитие, ОВЗД и журнал); хроника на деня; реални и фалшиви сигнали за последните 4 седмици.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Числата съвпадат с таблата на градините за същия момент.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Сигнали и реакция за избран период: средно време до потвърждение по градини спрямо целта от 30 с; реални и фалшиви по градини; най-честа зона.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Стойностите съвпадат с регистрите на градините.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Техника и поддръжка: основата по градини (камери, сървър, диск, UPS, връзка, последна проверка), отворени заявки с приоритет и срок за реакция, прекъсвания с продължителност и влияние върху сигналите.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Изключена камера в градина се вижда в таблото на общината.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Координаторът отваря заявка към партньора от таблото.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Желателно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Заявката получава номер и се вижда в списъка.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Таблото на общината не показва видео на живо, лица, имена на деца и кой служител е потвърдил сигнала.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с профил на координатор.</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Национален преглед за МОН: обобщени показатели по области и общини (обекти в работа, приети обекти, наличност, сигнали, фалшиви сигнали, време до потвърждение, ескалации). Без видео, лица, имена на деца и служители.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Числата съвпадат с таблата на общините. Проверка с профил на МОН.</w:t>
            </w:r>
          </w:p>
        </w:tc>
      </w:tr>
    </w:tbl>
    <w:p>
      <w:pPr>
        <w:spacing w:after="120"/>
      </w:pPr>
    </w:p>
    <w:p>
      <w:pPr>
        <w:pStyle w:val="Heading2"/>
      </w:pPr>
      <w:r>
        <w:t xml:space="preserve">4.7 Приложение за персонала (iOS и Android) или мобилна уеб версия</w:t>
      </w:r>
    </w:p>
    <w:p>
      <w:pPr>
        <w:spacing w:after="100"/>
      </w:pPr>
      <w:r>
        <w:t xml:space="preserve">Телефонът на персонала е част от годишната услуга. Изискванията важат за приложението и за мобилната уеб версия, освен където е посочено друго.</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Само служебни профили, създадени от директора. Вход с многостепенно удостоверяване и отключване с биометрия на телефона. Няма общи профили.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Вход без втори фактор е невъзможен.</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Критичен сигнал на цял екран, който звучи и в тих режим: на iOS чрез Critical Alerts, на Android чрез канал с висок приоритет и full-screen intent. При мобилна уеб версия или при липса на разрешение резервът е известие с висок приоритет плюс SMS и обаждане.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 на телефон в тих режим на двете платформи.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Екран на сигнала: зона, час, камера, ръст, силует без лице, брояч до ескалацията, бутони „Отивам“ (потвърждение с едно докосване) и „Фалшив сигнал“.</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Всички елементи се виждат. „Отивам“ спира брояча.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FR-39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Резултат и затваряне на сигнала от телефона (FR-19).</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Сигналът се затваря с резултат и се вижда в регистъра.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Режим „двор“: бутон за всяка група с час до кога; показва кои зони се наблюдават в момента.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5 с ръчно включване от телефона.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Дежурства днес и верига на ескалация за преглед. История на сигналите за 30 дни, четена от сървъра.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Данните съвпадат с таблото на градината.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Работа при слаб сигнал: текстът на сигнала идва първи, кадърът след това; „Отивам“ работи без кадър; потвърждението се изпраща повторно, докато стигне до сървъра.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Потвърждение при ограничена връзка стига до сървъра.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Минимум данни на телефона: без списъци с деца и снимки; кадрите не се записват в галерията; на заключен екран известието казва само вида и зоната (напр. „Сигнал · Порта 2“); историята и клиповете не се пазят локално.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файловата система и на заключения екран.</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Отдалечено изтриване: директорът спира профила от таблото и при следващо свързване приложението изтрива своите данни.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Спрян профил губи достъп при следващо свързване.</w:t>
            </w:r>
          </w:p>
        </w:tc>
      </w:tr>
    </w:tbl>
    <w:p>
      <w:pPr>
        <w:spacing w:after="120"/>
      </w:pPr>
    </w:p>
    <w:p>
      <w:pPr>
        <w:pStyle w:val="Heading2"/>
      </w:pPr>
      <w:r>
        <w:t xml:space="preserve">4.8 Администрация</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Управление на градини, обекти, зони, камери и сензори, свързани с обектите във видео сървъра.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Нова зона се добавя без участие на разработчик.</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Групи и служебни профили на персонала: импорт от НЕИСПУО, когато е наличен, или ръчно въвеждане. Данни за децата не се въвеждат.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Групите и персоналът на градина се въвеждат през таблото или се импортират.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Графици на портите и групите, дежурства и верига на ескалация за всяка градина.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Промените се прилагат без рестартиране.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Роли и права по раздел 3. Списък на лицата с достъп до видео, определени от директора.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Всяка роля вижда само позволеното (тест с профил за всяка роля).</w:t>
            </w:r>
          </w:p>
        </w:tc>
      </w:tr>
    </w:tbl>
    <w:p>
      <w:pPr>
        <w:spacing w:after="120"/>
      </w:pPr>
    </w:p>
    <w:p>
      <w:pPr>
        <w:pStyle w:val="Heading2"/>
      </w:pPr>
      <w:r>
        <w:t xml:space="preserve">4.9 Журнал и съответствие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FR-49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Журнал на действията: кой (роля и профил), кога, какво, обект и основание. Влизат гледане, заявка и отказ за клип, вписване на резултат, промяна на правило, зона или дежурство, експорт, вход, автоматично изтриване. Журналът на достъпа от видео сървъра се показва на същото място.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Всяко действие от приемането е в журнала.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Гледане на клип изисква основание. Заявка от общината (координатор или ДЛЗД) минава през одобрение от директора и дава достъп за 48 ч. Отказаните опити също се записват.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10: заявка без право е отказана и записана.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Контролен списък за съответствие за всяка градина: приложение към ОВЗД за обекта, табели, информация за родителите, информиране на служителите, обучение по ИИ (брой обучени), срок за съхранение, последно автоматично изтриване, липса на камери в забранените помещения, лица с достъп до видео.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Точките, които идват от системата, се попълват сами.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Отчет за съответствие за ДЛЗД и матрица на съответствието по градини в таблото на общината, включително тест на възстановяване.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Отчетът се генерира в PDF за избран месец.</w:t>
            </w:r>
          </w:p>
        </w:tc>
      </w:tr>
    </w:tbl>
    <w:p>
      <w:pPr>
        <w:spacing w:after="120"/>
      </w:pPr>
    </w:p>
    <w:p>
      <w:pPr>
        <w:pStyle w:val="Heading2"/>
      </w:pPr>
      <w:r>
        <w:t xml:space="preserve">4.10 Отчети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Месечен отчет на общината и обобщен месечен отчет за МОН, създадени автоматично в началото на месеца: обобщение, данни по градини (за МОН по области и общини), изпълнение на целите, технически прекъсвания, препоръки (добавя ги координаторът), съгласуване от ДЛЗД. Формат PDF и CSV.</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Отчетът за първия месец на работа се генерира без ръчна обработка на данните.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Отчетите съдържат само събития и показатели по градина. В тях няма видео, лица, имена на деца и класиране на служители.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съдържанието на отчета.</w:t>
            </w:r>
          </w:p>
        </w:tc>
      </w:tr>
    </w:tbl>
    <w:p>
      <w:pPr>
        <w:spacing w:after="120"/>
      </w:pPr>
    </w:p>
    <w:p>
      <w:pPr>
        <w:pStyle w:val="Heading2"/>
      </w:pPr>
      <w:r>
        <w:t xml:space="preserve">4.11 Интеграции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Интеграция с видео сървъра през Genetec Web SDK (REST) или Platform SDK, или еквивалентен публичен интерфейс: приемане на сигнали и състояние на устройствата, заявка за клип със запис в журнала.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Сценарии 1–8 минават през тази връзка.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Документиран REST API на платформата и данни в структуриран вид, за да може връзка с външна система да се добави без промени в градините.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Описание на API (напр. OpenAPI) е част от документацията.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Връзката на обекта с платформата минава през 2 SIM карти от двама различни мобилни оператори в отделна частна мрежа, отделно от интернета на градината. При отпадане на единия оператор връзката продължава през другия.</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8: при изключена SIM карта на единия оператор сигналите продължават.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Интеграция с електронните дневници през техния API (НП „ИКТ“, изискване 7): извънредно съобщение до родителите на група по решение на директора; при О8 присъствия и известия за вземане. Ако дневникът няма API, партньорът посочва алтернатива.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Тестово съобщение стига до родителите на тестова група през електронния дневник на градината.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FR-59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Връзка с НЕИСПУО: обобщени отчети без видео, брой на децата по обект и импорт на групи и персонал, по изискванията на МОН към интерфейса.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Тестов обмен с НЕИСПУО по формата на МОН.</w:t>
            </w:r>
          </w:p>
        </w:tc>
      </w:tr>
    </w:tbl>
    <w:p>
      <w:pPr>
        <w:spacing w:after="120"/>
      </w:pPr>
    </w:p>
    <w:p>
      <w:pPr>
        <w:pStyle w:val="Heading2"/>
      </w:pPr>
      <w:r>
        <w:t xml:space="preserve">4.12 Портата и дворът: сигнал на място и катерене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Сигнал на място за персонала на портата и в двора: светлинен и/или тих звуков сигнал, не сирена, за да не плаши децата. Сигналът трябва да се включва едновременно с известието към телефона при всеки сигнал за дете (нисък обект без придружител, пресичане на ограда, порта отворена извън график) в зоната на сигнала. Устройството е по раздел 7.1, поз. 1.10.</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Сценарии 1, 5 и 6: сигналът на място се включва до 3 с след засичането и се изключва при потвърждение „Отивам“.</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Засичане на катерене по оградата като сигнал „пресичане на ограда“ при режим „двор“: събитие от анализа на видеото, ако избраното решение го поддържа. Системата не трябва да засича „бой“ и да наблюдава друго поведение на децата извън периметъра (пропорционалност, ОВЗД).</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Желателно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14: катерене дава сигнал при включен режим „двор“. В конфигурацията няма анализ на поведението.</w:t>
            </w:r>
          </w:p>
        </w:tc>
      </w:tr>
    </w:tbl>
    <w:p>
      <w:pPr>
        <w:spacing w:after="120"/>
      </w:pPr>
    </w:p>
    <w:p>
      <w:pPr>
        <w:pStyle w:val="Heading2"/>
      </w:pPr>
      <w:r>
        <w:t xml:space="preserve">4.13 Метки на децата: автоматично предаване и вземане (О8) и зони в двора (О9)</w:t>
      </w:r>
    </w:p>
    <w:p>
      <w:pPr>
        <w:spacing w:after="100"/>
      </w:pPr>
      <w:r>
        <w:t xml:space="preserve">О8 и О9 са опции извън двете пера. Възлагат се по избор на общината и родителите. Основата и сигналите по 4.1 до 4.12 работят и без тях. Метките са само по желание на родителите. Дете без метка се приема, отбелязва и предава ръчно, както досега. Изискванията с приоритет „Опция“ са задължителни, ако опцията е оферирана и възложена. Ориентировъчната цена е около 33 € (О8) и около 13 € (О9) на дете годишно без ДДС (оценка, раздел 11.2).</w:t>
      </w:r>
    </w:p>
    <w:p>
      <w:pPr>
        <w:spacing w:after="100"/>
      </w:pPr>
      <w:r>
        <w:rPr>
          <w:b/>
          <w:bCs/>
        </w:rPr>
        <w:t xml:space="preserve">Състав.</w:t>
      </w:r>
      <w:r>
        <w:t xml:space="preserve"> О8 включва контрол на достъпа на портата за възрастните (карта, QR код или PIN), BLE метка на детето, ключодържател на родителя, по 2 приемника на всяка порта за посоката и електрическа ключалка. О9 изисква О8, защото ползва същите метки, приемници и платформа. Означенията О8 и О9 са запазени от предишните версии.</w:t>
      </w:r>
    </w:p>
    <w:p>
      <w:pPr>
        <w:spacing w:after="100"/>
      </w:pPr>
      <w:r>
        <w:rPr>
          <w:b/>
          <w:bCs/>
        </w:rPr>
        <w:t xml:space="preserve">Как работи.</w:t>
      </w:r>
      <w:r>
        <w:t xml:space="preserve"> Детето носи метка, която излъчва криптиран сменящ се идентификатор. Неподвижните приемници на портите и в двора засичат метката и пращат данните към KAI. Метката е ключ за безопасно излизане през портата, не проследяващо устройство. Без GPS и без история за дни. Изискванията към метките и приемниците са в раздел 5 (NFR-25 до NFR-34).</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Общи за О8 и О9</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Метка само по желание на родителя. Платформата трябва да пази за всяко дете дали има метка и основанието (писмено съгласие на родителя). Връзката между метката и детето е само в KAI. Родителят може да се откаже по всяко време и метката се изключва от системата в същия ден.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Дете без метка се обслужва ръчно. Изключена метка не се засича след изключването.</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О8 · Достъп на възрастните на портата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Контрол на достъпа на портата за родители и упълномощени лица с карта, QR код или PIN. Без лицево разпознаване и без други биометрични данни. Достъпът важи само за портите и часовете по графика (FR-11).</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Валидна карта, QR код или PIN отключва портата. Невалиден, изтекъл или извън графика е отказан и записан в журнала.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Упълномощените лица се вземат от електронния дневник или от НЕИСПУО чрез интеграция. Ръчно въвеждане от директора е само резерв. Временно упълномощените (баба, дядо, друг възрастен) получават временна карта или QR код със срок. Партньорът посочва честотата на синхронизация.</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Добавено или премахнато лице в източника получава или губи достъп след следващата синхронизация. Временният QR код е отказан след срока.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Регистър на вземането: при валидно преминаване платформата записва автоматично кой и кога е минал през портата. Учителят потвърждава в приложението за персонала кое дете е предадено. Списъкът на децата се чете от сървъра и не се пази на телефона.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Записът съдържа упълномощеното лице, час, порта и детето, потвърдено от учителя. Вижда се в таблото на градината.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Правилото „нисък обект без придружител“ (FR-08) отчита валидно преминаване на упълномощено лице на същата порта в прозореца на правилото като придружител. Целта е по-малко фалшиви сигнали в часовете за водене и прибиране.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13: 0 сигнала при валидно преминаване. Без валидно преминаване правилото работи по FR-08.</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О8 · Метки: автоматично предаване и вземане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Засичане на метка на портата и посока. Платформата трябва да определя по 2 приемника на портата (отвътре и отвън) коя метка е минала, в каква посока (навън или навътре) и в колко часа.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Сценарии 15 и 16: ≥ 98% от преминаванията с метка са записани с вярна посока; час с точност 1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Сутрешно приемане. Когато метката на детето мине навътре, детето е отбелязано като дошло. Учителят приема детето с едно докосване в приложението за персонала. Списъкът на дошлите деца се чете от сървъра и не се пази на телефона.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15: детето е отбелязано до 10 с след портата; приемането е с едно докосване.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FR-69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Автоматични присъствия към електронния дневник през неговия API (FR-58). Изискване 7 от Приложение 1 на НП „ИКТ“ 2026 на МОН допуска интеграция със „системи за достъп“. Децата без метка или със забравена метка учителят отбелязва ръчно в приложението.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15: присъствието се вижда в дневника до 5 мин. Автоматичните и ръчните отбелязвания са отделени в отчета на KAI.</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Правило за вземане. Учителят предава детето и потвърждава с едно докосване. На портата метката на детето и метка или карта на упълномощен за това дете възрастен трябва да минат навън в прозорец ±5 с. Тогава платформата записва „взето от упълномощено лице“ с час и порта. При много хора на портата се проверява само дали някой упълномощен за това дете възрастен е минал в прозореца. В пиковите часове градината може да ползва тясна порта за един човек или предаване при вратата на групата.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Сценарии 16 и 19: всяко вземане с упълномощен възрастен в прозореца е записано; 0 сигнала „непознат придружител“ при верни двойки.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Електрическа ключалка на портата. Отвътре ключалката трябва да се отваря само с метка, карта, QR код или PIN на възрастен или от дежурния в приложението. Метка на дете не отваря ключалката. Телефонът на родителя като ключ се приема само с NFC при доближаване или с QR код, защото iOS ограничава Bluetooth във фонов режим.</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17: при метка само на дете ключалката остава затворена в 100% от опитите.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Дете само към портата. Ако метката на дете е при портата и камерата на портата засича нисък обект на линията или има опит за отваряне, а в прозореца ±5 с няма метка или карта на възрастен, ключалката остава затворена и платформата подава сигнал до дежурния по 4.3, сигнал на място (FR-60) и клип (FR-05).</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17: ключалката не се отваря; известие ≤ 5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Сигнал „непознат придружител“. Ако метката на детето мине навън, а в прозореца ±5 с няма метка или карта на упълномощен за това дете възрастен (възрастен без метка, порта, отворена с картата на друг родител), платформата трябва да подаде сигнал до дежурния и директора, сигнал на място и клип.</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18: известие ≤ 5 с до дежурния и директора.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Запис на вземането и известие до родителя. Всяко вземане влиза в регистъра на вземането (FR-65): дете, упълномощено лице, порта, час и потвърждение на учителя. Родителят получава известие през електронния дневник (напр. „взето от упълномощено лице в 16:47“).</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16: известието стига до родителя до 1 мин; записът се вижда в таблото на градината.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Резервни пътища. При забравена метка или изтощена батерия възрастният влиза с QR код, карта или PIN, или дежурният отваря от приложението с основание. Учителят отбелязва детето ръчно. Платформата предупреждава в таблото за метка или ключодържател с ниска батерия.</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20: детето е отбелязано ръчно; отварянето от дежурния е в журнала; ниската батерия се вижда в таблото.</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Пожарна безопасност. Ключалката трябва да се отключва автоматично при пожарна аларма, директно от пожароизвестителната централа, без зависимост от KAI и от мрежата. Аварийният бутон за отключване е на височина, недостъпна за деца. Поведението при спиране на тока се определя в проекта по нормите за пожарна безопасност. Всяко аварийно отключване влиза в журнала и дава технически сигнал.</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21: ключалката се отключва веднага, и при изключен сървър на KAI.</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Отговорност и видео. Учителят остава отговорен за предаването на детето. Системата подсказва и записва, но не предава детето сама. Видео сигналите по 4.1 и 4.2 работят и за деца с метка: дете, което е минало през оградата, дава сигнал от видеото, макар метката да не е минала през портата.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26: пресичане на оградата от дете с метка дава сигнал както в сценарий 5.</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О9 · Зони в двора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Зони в двора. Приемниците (6 до 12 в двора и тези на портите) определят местоположението на метката само като зона с име (напр. Пясъчник, Площадка, Люлки, Ограда Север, Ограда Изток, Порта 2). Координати не се пазят. В сградата няма приемници освен на входа, който дава статус „в сградата“.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Вярна зона в ≥ 90% от контролните точки при теста на двора. В базата няма координати.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FR-79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„Последно видяно“ за всяко дете от групите на двора: зона и час. Вижда се в приложението за персонала и в таблото на градината за съответната група.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Смяната на зоната се вижда до 10 с.</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FR-80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Автоматично преброяване при прибиране. Когато режим „двор“ за групата приключи, платформата сравнява метките на групата със статуса „в сградата“ и показва липсващите деца с последната зона и час (напр. „2 деца от гр. „Калинки“ не са в сградата: последно при площадката 10:38 и при Порта 2 10:42“). Учителят отбелязва намереното дете.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22: липсващото дете е в списъка до 10 с след края на режим „двор“.</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FR-81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Режим „търсене“. Отваря се само при инцидент от дежурния или директора с основание. Показва пътя на детето по зони за последните 30 до 60 мин върху плана на двора и клип от най-близката камера. Всяко отваряне влиза в журнала. Пътят се изтрива автоматично след 30 до 60 мин (по подразбиране 60 мин).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23: отваряне от роля без право е отказано; пътят е изтрит след 60 мин; отварянето и изтриването са в журнала.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FR-82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„Топло/студено“. В режим „търсене“ телефонът на учителя показва по силата на сигнала дали се доближава до метката на търсеното дете. Работи само за търсеното дете и само докато режимът е отворен. Изисква приложението за персонала.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24: показанието се сменя при приближаване от около 20 m до 2 m.</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FR-83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Граници на О9. Системата не трябва да засича децата в сградата (освен входа), да пази история за дни, да проследява извън градината, да анализира движението на децата и да оценява учителите. Метките остават в градината или излъчват само в часовете на градината.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25 и проверка на базата: няма записи на пътя по-стари от 60 мин и няма данни от сградата освен статуса „в сградата“.</w:t>
            </w:r>
          </w:p>
        </w:tc>
      </w:tr>
    </w:tbl>
    <w:p>
      <w:pPr>
        <w:spacing w:after="120"/>
      </w:pPr>
    </w:p>
    <w:p>
      <w:pPr>
        <w:pBdr>
          <w:left w:val="single" w:color="1E5F57" w:sz="18" w:space="6"/>
        </w:pBdr>
        <w:shd w:fill="E6F0EE" w:color="auto" w:val="clear"/>
        <w:spacing w:after="120" w:before="60"/>
        <w:ind w:left="120" w:right="120"/>
      </w:pPr>
      <w:r>
        <w:rPr>
          <w:color w:val="3A4A47"/>
          <w:sz w:val="18"/>
          <w:szCs w:val="18"/>
        </w:rPr>
        <w:t xml:space="preserve">Контролът на достъпа в О8 е сходен с решения на производители за училища (напр. Hikvision Student Pick-up). Там се ползват лицата и картите на децата. За деца на 3–7 години това не е подходящо, а лицевото разпознаване е обработване на биометрични данни по чл. 9 GDPR. В KAI се идентифицира само възрастният, а детето се потвърждава от учителя. Метката на детето е без лице и биометрия. О8 въвежда в платформата имената на децата и на упълномощените лица, затова изисква допълнение към ОВЗД.</w:t>
      </w:r>
    </w:p>
    <w:p>
      <w:pPr>
        <w:pBdr>
          <w:left w:val="single" w:color="1E5F57" w:sz="18" w:space="6"/>
        </w:pBdr>
        <w:shd w:fill="E6F0EE" w:color="auto" w:val="clear"/>
        <w:spacing w:after="120" w:before="60"/>
        <w:ind w:left="120" w:right="120"/>
      </w:pPr>
      <w:r>
        <w:rPr>
          <w:color w:val="3A4A47"/>
          <w:sz w:val="18"/>
          <w:szCs w:val="18"/>
        </w:rPr>
        <w:t xml:space="preserve">Пример за О8 и О9 в ДГ № 1 „Слънце“. Сутринта 104 деца са отбелязани автоматично чрез метки и 14 ръчно. В 10:42:07 метката на дете от гр. „Калинки“ е при Порта 2 без метка на възрастен. Ключалката остава затворена, а камера B2 потвърждава нисък обект. В 11:30 преброяването на гр. „Пчелички“ показва 23 от 24 деца и последна зона Люлки 11:27. Всички данни са примерни. Потвърждението с едно докосване работи и в мобилната уеб версия. „Топло/студено“ изисква приложението.</w:t>
      </w:r>
    </w:p>
    <w:p>
      <w:pPr>
        <w:pStyle w:val="Heading1"/>
      </w:pPr>
      <w:r>
        <w:t xml:space="preserve">5. Нефункционални изисквания</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900"/>
        <w:gridCol w:w="4400"/>
        <w:gridCol w:w="1400"/>
        <w:gridCol w:w="2938"/>
      </w:tblGrid>
      <w:tr>
        <w:trPr>
          <w:cantSplit/>
          <w:tblHeader/>
        </w:trPr>
        <w:tc>
          <w:tcPr>
            <w:tcW w:type="dxa" w:w="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4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14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29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 за приемане</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Производителност и наличност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Време от засичането до известие на телефона на дежурния ≤ 3–5 с, горна граница 5 с.</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Измерено по времевите печати във всички приемни сценарии.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Технически сигнал при неизправност на устройство до 1 мин.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8.</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Платформата работи 24/7. Гарантираната месечна наличност е в договора за годишната услуга. Наличността се мери и се показва в отчетите към общината и МОН. При прекъсната връзка записът продължава в обекта.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Мониторингът отчита наличността месечно.</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Капацитет: всички общински и държавни градини и частните, които се включат (поне 2 000 обекта, около 12 000 камери и 4 000 сензора), с едновременно пускане от 01.09.2027, без промяна на архитектурата.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Натоварващ тест с поток събития за 2 000 обекта.</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Сигурност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Многостепенно удостоверяване (MFA) за всички потребители на уеб таблата и на приложението. Профилът се спира в деня на напускане.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Вход без втори фактор е невъзможен.</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Права по роли и принцип на минималния достъп (раздел 3).</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Тест с профил за всяка роля.</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Отделна мрежа на обекта: камерите, сървърът и сензорите са зад отделния рутер и нямат връзка с мрежата и интернета на градината. Връзката с платформата е само през частната мрежа на двата мобилни оператора, криптирана и само изходяща.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Мрежова схема и тест за достъп от мрежата на градината и от интернет.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Криптиране при пренос (TLS) по всички връзки и при съхранение на базите данни, клиповете и резервните копия.</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Описание на мерките и проверка при теста за проникване.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NFR-09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Журналът на достъпа е защитен от промяна и изтриване от потребителите.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Опит за промяна от администратор е отказан или се вижда.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Автоматично известяване при подозрителни влизания, многократни неуспешни опити, необичайно изтегляне на данни и промяна на административни права. Ограничение на масовото изтегляне на клипове.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Симулация на многократни неуспешни входове дава известие.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Тест за проникване от независима страна преди пускането и след съществени промени. Годишен независим одит на сигурността на платформата и на извадка от обектите. Критичните и високите находки се отстраняват. Резюме на доклада се предава на МОН.</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Доклад от теста и от одита и протокол за отстраняване.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Управление на уязвимостите: списък на компонентите (SBOM), обновяване на софтуера и фърмуера, ред за докладване на уязвимости. План за реакция при киберинцидент.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Документите са предадени преди пускането.</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Защита на данните и ИИ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Видеото остава в градината. Към платформата отиват събития и метаданни. Видео се отваря само при оторизиран достъп със запис в журнала.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Анализ на трафика през връзката на обекта при нормална работа.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Клип 20 с при сигнал. Срок за съхранение на записите и клиповете 30 дни, след това автоматично изтриване със запис в журнала.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11.</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Минимизация: без имена на деца в сигналите, известията и отчетите; само служебни профили; партньорът няма достъп до видео по подразбиране.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данните в базата и в известията.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Ограничения по AI Act: без лицево разпознаване, без оценка на възраст по лице, без разпознаване на емоции. Такива функции в купените продукти трябва да са изключени и да не се лицензират.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конфигурацията и лицензите при приемането.</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Използваемост и платформи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Всички интерфейси, съобщения, отчети и документация са на български език.</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Преглед при приемането.</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Уеб таблата отговарят на WCAG 2.1 ниво AA.</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Доклад от проверка на достъпността.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NFR-19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Приложението за персонала поддържа последните 2 основни версии на iOS и на Android. Уеб таблата и мобилната уеб версия работят в текущите версии на основните браузъри.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Тест на съответните версии.</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Експлоатация</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Хостинг в България или в ЕС. Данните на платформата не напускат ЕС. Съдържанието на push известията е минимално (FR-43).</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Договорите и местоположението на центровете за данни.</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Криптирани резервни копия на платформата и на конфигурацията на видео сървъра на всеки обект. Тест на възстановяване веднъж на тримесечие.</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Протокол от тест на възстановяване преди пускането.</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Мониторинг на сървърите, услугите, връзките и устройствата с известяване на поддръжката.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Изключена услуга дава известие.</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Синхронизация на часовника (NTP) от един източник за всички устройства. Отклонение под 1 с.</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Задължително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при приемането и в месечния отчет.</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Отворени стандарти (ONVIF, MQTT, REST). Платформата не се обвързва с един производител на камери.</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Желателно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Описание в архитектурата.</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Метки и приемници (опции О8 и О9)</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NFR-25</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Метката работи с Bluetooth 5.x (BLE). При позициониране по ъгъла (AoA) метката поддържа BLE 5.1.</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Документация на производителя.</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NFR-26</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Метката излъчва криптиран сменящ се идентификатор (напр. Eddystone-EID или формат на производителя като Kontakt.io Secure Shuffling, или еквивалент). Метка с постоянен идентификатор (напр. обикновен iBeacon) не се приема, защото всеки с телефон може да проследи детето.</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Запис на излъчването с телефон за 1 ч показва сменящ се идентификатор, който без ключа не може да се свърже с метката.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NFR-27</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В метката няма лични данни: име, група или друга информация за детето. Връзката между метката и детето е само в KAI.</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излъчването и на паметта на метката.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NFR-28</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Корпус IP67. Сменяема батерия CR2032 с живот 1 до 2 години при излъчване през 1 до 2 с, или акумулаторна. Сензор за движение. Метката съобщава нивото на батерията.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Документация на производителя; ниската батерия се вижда в таблото (FR-75).</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NFR-29</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Безопасност за деца: сертификат за безопасност за деца (напр. EN 71 или еквивалент), без малки отделящи се части, закопчалка, която се разкопчава при дърпане. Форма: силиконова гривна (над 3 години) или лента за глезена (по-малки деца), клипс като алтернатива.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Сертификат и проба с дърпане при приемането.</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NFR-30</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Метките излъчват само в часовете на градината или остават в кутия в градината. Извън градината метката не се засича от KAI.</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Проверка с телефон извън часовете или извън градината.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NFR-31</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Приемници: по 2 на всяка порта (отвътре и отвън, за посоката) за О8 и 6 до 12 в двора за О9. За монтаж на открито, захранване PoE. Данните отиват към KAI през MQTT или HTTPS с TLS в отделната мрежа на обекта. Ако производителят ползва облак, той е в ЕС и партньорът го посочва.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Мрежова схема и тест: засичането продължава при прекъсната връзка на обекта.</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NFR-32</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Точност при О9: зона от 2 до 5 m с BLE по силата на сигнала. Позициониране по ъгъла (AoA, под 1 m) или UWB (10 до 30 cm) се допуска като алтернатива с отделна цена.</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Тест на двора с контролни точки (FR-78).</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NFR-33</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Пътят и „последно видяно“ се пазят до 60 мин (настройва се от 30 до 60 мин) и се изтриват автоматично със запис в журнала. Записите за вземане и присъствия се пазят по срока, определен в ОВЗД.</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Опция</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Сценарий 23.</w:t>
            </w:r>
          </w:p>
        </w:tc>
      </w:tr>
      <w:tr>
        <w:trPr>
          <w:cantSplit/>
        </w:trPr>
        <w:tc>
          <w:tcPr>
            <w:tcW w:type="dxa" w:w="900"/>
            <w:tcMar>
              <w:top w:type="dxa" w:w="40"/>
              <w:left w:type="dxa" w:w="70"/>
              <w:bottom w:type="dxa" w:w="40"/>
              <w:right w:type="dxa" w:w="70"/>
            </w:tcMar>
            <w:vAlign w:val="top"/>
          </w:tcPr>
          <w:p>
            <w:pPr>
              <w:keepNext w:val="false"/>
              <w:keepLines/>
              <w:spacing w:after="0" w:line="240"/>
              <w:jc w:val="left"/>
            </w:pPr>
            <w:r>
              <w:rPr>
                <w:b/>
                <w:bCs/>
                <w:sz w:val="16"/>
                <w:szCs w:val="16"/>
              </w:rPr>
              <w:t xml:space="preserve">NFR-34</w:t>
            </w:r>
          </w:p>
        </w:tc>
        <w:tc>
          <w:tcPr>
            <w:tcW w:type="dxa" w:w="4400"/>
            <w:tcMar>
              <w:top w:type="dxa" w:w="40"/>
              <w:left w:type="dxa" w:w="70"/>
              <w:bottom w:type="dxa" w:w="40"/>
              <w:right w:type="dxa" w:w="70"/>
            </w:tcMar>
            <w:vAlign w:val="top"/>
          </w:tcPr>
          <w:p>
            <w:pPr>
              <w:keepNext w:val="false"/>
              <w:keepLines/>
              <w:spacing w:after="0" w:line="240"/>
              <w:jc w:val="left"/>
            </w:pPr>
            <w:r>
              <w:rPr>
                <w:sz w:val="16"/>
                <w:szCs w:val="16"/>
              </w:rPr>
              <w:t xml:space="preserve">Метките и приемниците са от производител в ЕС (напр. Kontakt.io, Teltonika, Blue Up, Quuppa, или еквивалент).</w:t>
            </w:r>
          </w:p>
        </w:tc>
        <w:tc>
          <w:tcPr>
            <w:tcW w:type="dxa" w:w="1400"/>
            <w:tcMar>
              <w:top w:type="dxa" w:w="40"/>
              <w:left w:type="dxa" w:w="70"/>
              <w:bottom w:type="dxa" w:w="40"/>
              <w:right w:type="dxa" w:w="70"/>
            </w:tcMar>
            <w:vAlign w:val="top"/>
          </w:tcPr>
          <w:p>
            <w:pPr>
              <w:keepNext w:val="false"/>
              <w:keepLines/>
              <w:spacing w:after="0" w:line="240"/>
              <w:jc w:val="left"/>
            </w:pPr>
            <w:r>
              <w:rPr>
                <w:sz w:val="16"/>
                <w:szCs w:val="16"/>
              </w:rPr>
              <w:t xml:space="preserve">Желателно</w:t>
            </w:r>
          </w:p>
        </w:tc>
        <w:tc>
          <w:tcPr>
            <w:tcW w:type="dxa" w:w="2938"/>
            <w:tcMar>
              <w:top w:type="dxa" w:w="40"/>
              <w:left w:type="dxa" w:w="70"/>
              <w:bottom w:type="dxa" w:w="40"/>
              <w:right w:type="dxa" w:w="70"/>
            </w:tcMar>
            <w:vAlign w:val="top"/>
          </w:tcPr>
          <w:p>
            <w:pPr>
              <w:keepNext w:val="false"/>
              <w:keepLines/>
              <w:spacing w:after="0" w:line="240"/>
              <w:jc w:val="left"/>
            </w:pPr>
            <w:r>
              <w:rPr>
                <w:sz w:val="16"/>
                <w:szCs w:val="16"/>
              </w:rPr>
              <w:t xml:space="preserve">Документация на производителя.</w:t>
            </w:r>
          </w:p>
        </w:tc>
      </w:tr>
    </w:tbl>
    <w:p>
      <w:pPr>
        <w:spacing w:after="120"/>
      </w:pPr>
    </w:p>
    <w:p>
      <w:pPr>
        <w:pStyle w:val="Heading1"/>
      </w:pPr>
      <w:r>
        <w:t xml:space="preserve">6. Архитектура и интерфейси</w:t>
      </w:r>
    </w:p>
    <w:p>
      <w:pPr>
        <w:pStyle w:val="Heading2"/>
      </w:pPr>
      <w:r>
        <w:t xml:space="preserve">6.1 Слоеве</w:t>
      </w:r>
    </w:p>
    <w:p>
      <w:pPr>
        <w:spacing w:after="100"/>
      </w:pPr>
      <w:r>
        <w:t xml:space="preserve">Сигналът тръгва отдолу нагоре. Ако камерата е монтирана накриво или часовникът ѝ избързва, никоя платформа отгоре няма да го поправи.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600"/>
        <w:gridCol w:w="4238"/>
        <w:gridCol w:w="2200"/>
        <w:gridCol w:w="1600"/>
      </w:tblGrid>
      <w:tr>
        <w:trPr>
          <w:cantSplit/>
          <w:tblHeader/>
        </w:trPr>
        <w:tc>
          <w:tcPr>
            <w:tcW w:type="dxa" w:w="1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Слой</w:t>
            </w:r>
          </w:p>
        </w:tc>
        <w:tc>
          <w:tcPr>
            <w:tcW w:type="dxa" w:w="4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Компоненти</w:t>
            </w:r>
          </w:p>
        </w:tc>
        <w:tc>
          <w:tcPr>
            <w:tcW w:type="dxa" w:w="22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Къде работи</w:t>
            </w:r>
          </w:p>
        </w:tc>
        <w:tc>
          <w:tcPr>
            <w:tcW w:type="dxa" w:w="1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Перо</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1. Основа</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Камери на портите с анализ в камерата, камери на двора и оградата, сензори на портите, сигнал на място, PoE комутатор, рутер с 2 SIM карти, UPS; при О8 и О9 BLE приемници, контролер за достъп и електрическа ключалка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обекта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Перо 1; О8, О9</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2. Купен софтуер</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Видео сървър за запис, роли, журнал и сигнали; анализ на сървъра за оградата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локален сървър в обекта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Перо 1</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3. Свързаност</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Отделна частна мрежа на двама мобилни оператори, криптиран тунел само изходящ към платформата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обект ↔ платформа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Перо 1 (5 години)</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4. Платформа KAI</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Ядро и правила, ескалация, регистър, уеб табла, национален преглед, журнал и отчети, администрация, API</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център за данни в България или ЕС</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5. Канали</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Приложение или мобилна уеб версия за персонала, SMS и гласови обаждания, електронни дневници, НЕИСПУО</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телефони на персонала, доставчици в ЕС, системите на МОН</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bl>
    <w:p>
      <w:pPr>
        <w:spacing w:after="120"/>
      </w:pPr>
    </w:p>
    <w:p>
      <w:pPr>
        <w:spacing w:after="100"/>
      </w:pPr>
      <w:r>
        <w:t xml:space="preserve">Записът и анализът работят локално във всеки обект. Към платформата през частната мобилна мрежа минават само събития и метаданни. Видео от платформата се гледа само при оторизиран достъп и всеки такъв достъп влиза в журнала.</w:t>
      </w:r>
    </w:p>
    <w:p>
      <w:pPr>
        <w:pStyle w:val="Heading2"/>
      </w:pPr>
      <w:r>
        <w:t xml:space="preserve">6.2 Интерфейси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700"/>
        <w:gridCol w:w="2100"/>
        <w:gridCol w:w="1950"/>
        <w:gridCol w:w="850"/>
        <w:gridCol w:w="2238"/>
        <w:gridCol w:w="1800"/>
      </w:tblGrid>
      <w:tr>
        <w:trPr>
          <w:cantSplit/>
          <w:tblHeader/>
        </w:trPr>
        <w:tc>
          <w:tcPr>
            <w:tcW w:type="dxa" w:w="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w:t>
            </w:r>
          </w:p>
        </w:tc>
        <w:tc>
          <w:tcPr>
            <w:tcW w:type="dxa" w:w="21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Източник → цел</w:t>
            </w:r>
          </w:p>
        </w:tc>
        <w:tc>
          <w:tcPr>
            <w:tcW w:type="dxa" w:w="195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Протокол</w:t>
            </w:r>
          </w:p>
        </w:tc>
        <w:tc>
          <w:tcPr>
            <w:tcW w:type="dxa" w:w="85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Посока</w:t>
            </w:r>
          </w:p>
        </w:tc>
        <w:tc>
          <w:tcPr>
            <w:tcW w:type="dxa" w:w="2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Данни</w:t>
            </w:r>
          </w:p>
        </w:tc>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Перо</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И-01</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Камери К1–К4, B1–B2 → видео сървър в обекта</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RTSP, ONVIF Profile S/T</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видеопоток H.264/H.265</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И-02</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Камери на портите → видео сървър</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ONVIF Profile M, събития на производителя</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пресичане на линия, ръст в m, посока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 калибриране и правила в камерата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И-03</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Анализ на сървъра → видео сървър</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вътрешен за видео сървъра</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периметър, зона, посока, tailgating</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 сценарии и зони</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И-04</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Видео сървър →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Genetec Web SDK (REST) или Platform SDK, или еквивалент</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сигнал, камера, време, тип, метаданни; състояние на устройствата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И-05</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видео сървър</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Genetec Web SDK (REST) или еквивалент</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заявка за клип 20 с при право, запис в журнала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И-06</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Сензори S1–S2 →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MQTT или HTTP (локален API), през криптирания тунел</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порта отворена или затворена, време</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 монтаж; Перо 2: приемане</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И-07</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Обект ↔ платформа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частна мрежа на двама мобилни оператори (2 SIM карти); криптиран тунел (IPsec или WireGuard)</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събития, метаданни, състояние; видео само при право</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 свързаност 5 години</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И-08</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приложение или мобилна уеб версия</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push (APNs за iOS, FCM за Android) и HTTPS API</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критичен сигнал, потвърждение, резултат, режим „двор“</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И-09</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доставчик на SMS и гласови обаждания</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REST API на доставчика</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кратък текст без лични данни на детето</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И-10</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Доставчик на SMS и обаждания →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HTTPS webhook</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статус на доставката, потвърждение</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И-11</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уеб табла</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HTTPS, вход с MFA</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състояние, сигнали, регистър, журнал, отчети</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И-12</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Устройства в обекта ← NTP сървър</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NTP</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точно време, отклонение под 1 с</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И-13</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електронни дневници</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REST API на дневника (НП „ИКТ“, изискване 7)</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извънредно съобщение до родителите на група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И-14</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НЕИСПУО</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по изискванията на МОН към интерфейса</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обобщени отчети без видео; брой деца по обект; импорт на групи и персонал</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И-15</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или видео сървър → устройство за сигнал на място</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HTTP API, релеен изход на камерата (ONVIF) или мрежово аудио (SIP), или еквивалент</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включване и изключване на светлината и звука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Перо 1: монтаж; Перо 2: управление</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И-16</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Четец → контролер за достъп → видео сървър или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OSDP или Wiegand между четеца и контролера; API на системата за контрол на достъпа, или еквивалент</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валидно или отказано преминаване, лице, порта, време; отключване</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Опция О8</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И-17</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Метки → приемници</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BLE 5.x, криптиран сменящ се идентификатор</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идентификатор, сила на сигнала, батерия, движение</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Опции О8 и О9</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И-18</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Приемници →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MQTT или HTTPS с TLS в отделната мрежа, през криптирания тунел</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метка, приемник, сила на сигнала, време; посока на портата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Опции О8 и О9</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И-19</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Контролер за достъп и ключалка ↔ KAI</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API на системата за контрол на достъпа (напр. Genetec Synergis или еквивалент); OSDP към четците</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разрешение за отваряне, състояние на ключалката, преминаване, отваряне от дежурния, аварийно отключване</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Опция О8</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И-20</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 електронен дневник</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REST API на дневника</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към дневника присъствия и известие за вземане до родителя; от дневника упълномощени лица</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Опция О8</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И-21</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Пожароизвестителна централа → ключалка</w:t>
            </w:r>
          </w:p>
        </w:tc>
        <w:tc>
          <w:tcPr>
            <w:tcW w:type="dxa" w:w="1950"/>
            <w:tcMar>
              <w:top w:type="dxa" w:w="40"/>
              <w:left w:type="dxa" w:w="70"/>
              <w:bottom w:type="dxa" w:w="40"/>
              <w:right w:type="dxa" w:w="70"/>
            </w:tcMar>
            <w:vAlign w:val="top"/>
          </w:tcPr>
          <w:p>
            <w:pPr>
              <w:keepNext w:val="false"/>
              <w:keepLines/>
              <w:spacing w:after="0" w:line="240"/>
              <w:jc w:val="left"/>
            </w:pPr>
            <w:r>
              <w:rPr>
                <w:sz w:val="16"/>
                <w:szCs w:val="16"/>
              </w:rPr>
              <w:t xml:space="preserve">релеен изход директно към контролера, без KAI и без мрежа</w:t>
            </w:r>
          </w:p>
        </w:tc>
        <w:tc>
          <w:tcPr>
            <w:tcW w:type="dxa" w:w="850"/>
            <w:tcMar>
              <w:top w:type="dxa" w:w="40"/>
              <w:left w:type="dxa" w:w="70"/>
              <w:bottom w:type="dxa" w:w="40"/>
              <w:right w:type="dxa" w:w="70"/>
            </w:tcMar>
            <w:vAlign w:val="top"/>
          </w:tcPr>
          <w:p>
            <w:pPr>
              <w:keepNext w:val="false"/>
              <w:keepLines/>
              <w:spacing w:after="0" w:line="240"/>
              <w:jc w:val="center"/>
            </w:pPr>
            <w:r>
              <w:rPr>
                <w:sz w:val="16"/>
                <w:szCs w:val="16"/>
              </w:rPr>
              <w:t xml:space="preserve">→</w:t>
            </w:r>
          </w:p>
        </w:tc>
        <w:tc>
          <w:tcPr>
            <w:tcW w:type="dxa" w:w="2238"/>
            <w:tcMar>
              <w:top w:type="dxa" w:w="40"/>
              <w:left w:type="dxa" w:w="70"/>
              <w:bottom w:type="dxa" w:w="40"/>
              <w:right w:type="dxa" w:w="70"/>
            </w:tcMar>
            <w:vAlign w:val="top"/>
          </w:tcPr>
          <w:p>
            <w:pPr>
              <w:keepNext w:val="false"/>
              <w:keepLines/>
              <w:spacing w:after="0" w:line="240"/>
              <w:jc w:val="left"/>
            </w:pPr>
            <w:r>
              <w:rPr>
                <w:sz w:val="16"/>
                <w:szCs w:val="16"/>
              </w:rPr>
              <w:t xml:space="preserve">отключване при пожарна аларма; събитие към KAI през И-19</w:t>
            </w:r>
          </w:p>
        </w:tc>
        <w:tc>
          <w:tcPr>
            <w:tcW w:type="dxa" w:w="1800"/>
            <w:tcMar>
              <w:top w:type="dxa" w:w="40"/>
              <w:left w:type="dxa" w:w="70"/>
              <w:bottom w:type="dxa" w:w="40"/>
              <w:right w:type="dxa" w:w="70"/>
            </w:tcMar>
            <w:vAlign w:val="top"/>
          </w:tcPr>
          <w:p>
            <w:pPr>
              <w:keepNext w:val="false"/>
              <w:keepLines/>
              <w:spacing w:after="0" w:line="240"/>
              <w:jc w:val="left"/>
            </w:pPr>
            <w:r>
              <w:rPr>
                <w:sz w:val="16"/>
                <w:szCs w:val="16"/>
              </w:rPr>
              <w:t xml:space="preserve">Опция О8, по проекта за пожарна безопасност</w:t>
            </w:r>
          </w:p>
        </w:tc>
      </w:tr>
    </w:tbl>
    <w:p>
      <w:pPr>
        <w:spacing w:after="120"/>
      </w:pPr>
    </w:p>
    <w:p>
      <w:pPr>
        <w:pStyle w:val="Heading2"/>
      </w:pPr>
      <w:r>
        <w:t xml:space="preserve">6.3 Марки и еквиваленти</w:t>
      </w:r>
    </w:p>
    <w:p>
      <w:pPr>
        <w:spacing w:after="100"/>
      </w:pPr>
      <w:r>
        <w:t xml:space="preserve">Марките в документа описват изискваното ниво. Навсякъде се допуска „или еквивалент“. Партньорът доказва еквивалентността с документация на производителя. Еквивалентът трябва да покрива поне:</w:t>
      </w:r>
    </w:p>
    <w:p>
      <w:pPr>
        <w:pStyle w:val="ListParagraph"/>
        <w:numPr>
          <w:ilvl w:val="0"/>
          <w:numId w:val="2"/>
        </w:numPr>
        <w:spacing w:after="50"/>
      </w:pPr>
      <w:r>
        <w:rPr>
          <w:b/>
          <w:bCs/>
        </w:rPr>
        <w:t xml:space="preserve">Камера за порта</w:t>
      </w:r>
      <w:r>
        <w:t xml:space="preserve"> (Bosch/IQSIGHT IVA Pro Perimeter или еквивалент): анализ в камерата, калибриране и измерване на ръста в метри, пресичане на линия с посока, ONVIF Profile S/T/M, ИЧ осветление и WDR.</w:t>
      </w:r>
    </w:p>
    <w:p>
      <w:pPr>
        <w:pStyle w:val="ListParagraph"/>
        <w:numPr>
          <w:ilvl w:val="0"/>
          <w:numId w:val="2"/>
        </w:numPr>
        <w:spacing w:after="50"/>
      </w:pPr>
      <w:r>
        <w:rPr>
          <w:b/>
          <w:bCs/>
        </w:rPr>
        <w:t xml:space="preserve">Видео сървър</w:t>
      </w:r>
      <w:r>
        <w:t xml:space="preserve"> (Genetec Security Center/Omnicast или еквивалент): локален запис, роли, MFA, журнал на достъпа, управление на сигналите, публичен SDK или API.</w:t>
      </w:r>
    </w:p>
    <w:p>
      <w:pPr>
        <w:pStyle w:val="ListParagraph"/>
        <w:numPr>
          <w:ilvl w:val="0"/>
          <w:numId w:val="2"/>
        </w:numPr>
        <w:spacing w:after="50"/>
      </w:pPr>
      <w:r>
        <w:rPr>
          <w:b/>
          <w:bCs/>
        </w:rPr>
        <w:t xml:space="preserve">Анализ на сървъра</w:t>
      </w:r>
      <w:r>
        <w:t xml:space="preserve"> (Genetec KiwiVision или еквивалент): периметър, зона, посока, tailgating с всякакви ONVIF камери; размиване на хора в кадъра.</w:t>
      </w:r>
    </w:p>
    <w:p>
      <w:pPr>
        <w:pStyle w:val="ListParagraph"/>
        <w:numPr>
          <w:ilvl w:val="0"/>
          <w:numId w:val="2"/>
        </w:numPr>
        <w:spacing w:after="50"/>
      </w:pPr>
      <w:r>
        <w:rPr>
          <w:b/>
          <w:bCs/>
        </w:rPr>
        <w:t xml:space="preserve">Сензор за порта</w:t>
      </w:r>
      <w:r>
        <w:t xml:space="preserve"> (Shelly или еквивалент): локален API или MQTT, работа без облак.</w:t>
      </w:r>
    </w:p>
    <w:p>
      <w:pPr>
        <w:pStyle w:val="ListParagraph"/>
        <w:numPr>
          <w:ilvl w:val="0"/>
          <w:numId w:val="2"/>
        </w:numPr>
        <w:spacing w:after="50"/>
      </w:pPr>
      <w:r>
        <w:rPr>
          <w:b/>
          <w:bCs/>
        </w:rPr>
        <w:t xml:space="preserve">Сигнал на място</w:t>
      </w:r>
      <w:r>
        <w:t xml:space="preserve"> (мрежов високоговорител или сигнална лампа, или вградени в камерата светлина и звук, или еквивалент): управление по мрежа, светлина и/или тих звук, без сирена.</w:t>
      </w:r>
    </w:p>
    <w:p>
      <w:pPr>
        <w:pStyle w:val="ListParagraph"/>
        <w:numPr>
          <w:ilvl w:val="0"/>
          <w:numId w:val="2"/>
        </w:numPr>
        <w:spacing w:after="50"/>
      </w:pPr>
      <w:r>
        <w:rPr>
          <w:b/>
          <w:bCs/>
        </w:rPr>
        <w:t xml:space="preserve">Свързаност</w:t>
      </w:r>
      <w:r>
        <w:t xml:space="preserve"> (напр. A1 и Vivacom, или други двама оператори): 2 SIM карти от двама различни мобилни оператори в отделна частна мрежа, рутер с автоматично превключване, без връзка с интернета на градината.</w:t>
      </w:r>
    </w:p>
    <w:p>
      <w:pPr>
        <w:pStyle w:val="ListParagraph"/>
        <w:numPr>
          <w:ilvl w:val="0"/>
          <w:numId w:val="2"/>
        </w:numPr>
        <w:spacing w:after="50"/>
      </w:pPr>
      <w:r>
        <w:rPr>
          <w:b/>
          <w:bCs/>
        </w:rPr>
        <w:t xml:space="preserve">BLE метки и приемници</w:t>
      </w:r>
      <w:r>
        <w:t xml:space="preserve"> (напр. Kontakt.io, Teltonika, Blue Up, или еквивалент; при позициониране по ъгъла напр. Quuppa или u-blox, при UWB напр. Sewio или Pozyx, или еквивалент): по NFR-25 до NFR-34.</w:t>
      </w:r>
    </w:p>
    <w:p>
      <w:pPr>
        <w:pStyle w:val="ListParagraph"/>
        <w:numPr>
          <w:ilvl w:val="0"/>
          <w:numId w:val="2"/>
        </w:numPr>
        <w:spacing w:after="50"/>
      </w:pPr>
      <w:r>
        <w:rPr>
          <w:b/>
          <w:bCs/>
        </w:rPr>
        <w:t xml:space="preserve">Контрол на достъпа и ключалка</w:t>
      </w:r>
      <w:r>
        <w:t xml:space="preserve"> (напр. Genetec Synergis, за телефона като ключ HID Mobile Access, или еквивалент): API към KAI, OSDP към четците, отключване от пожарната аларма без зависимост от KAI.</w:t>
      </w:r>
    </w:p>
    <w:p>
      <w:pPr>
        <w:keepNext/>
        <w:spacing w:after="100" w:before="120"/>
      </w:pPr>
      <w:r>
        <w:rPr>
          <w:b/>
          <w:bCs/>
        </w:rPr>
        <w:t xml:space="preserve">Hikvision и Dahua.</w:t>
      </w:r>
      <w:r>
        <w:t xml:space="preserve"> Видео сървър и камери на тези производители (напр. HikCentral Professional, Dahua DSS) се приемат като еквивалент само ако:</w:t>
      </w:r>
    </w:p>
    <w:p>
      <w:pPr>
        <w:pStyle w:val="ListParagraph"/>
        <w:numPr>
          <w:ilvl w:val="0"/>
          <w:numId w:val="2"/>
        </w:numPr>
        <w:spacing w:after="50"/>
      </w:pPr>
      <w:r>
        <w:t xml:space="preserve">облачните P2P услуги (Hik-Connect, DMSS) са изключени;</w:t>
      </w:r>
    </w:p>
    <w:p>
      <w:pPr>
        <w:pStyle w:val="ListParagraph"/>
        <w:numPr>
          <w:ilvl w:val="0"/>
          <w:numId w:val="2"/>
        </w:numPr>
        <w:spacing w:after="50"/>
      </w:pPr>
      <w:r>
        <w:t xml:space="preserve">камерите и рекордерите са в отделна мрежа без достъп до интернет;</w:t>
      </w:r>
    </w:p>
    <w:p>
      <w:pPr>
        <w:pStyle w:val="ListParagraph"/>
        <w:numPr>
          <w:ilvl w:val="0"/>
          <w:numId w:val="2"/>
        </w:numPr>
        <w:spacing w:after="50"/>
      </w:pPr>
      <w:r>
        <w:t xml:space="preserve">има процес за обновяване на фърмуера и следене на уязвимостите (CVE);</w:t>
      </w:r>
    </w:p>
    <w:p>
      <w:pPr>
        <w:pStyle w:val="ListParagraph"/>
        <w:numPr>
          <w:ilvl w:val="0"/>
          <w:numId w:val="2"/>
        </w:numPr>
        <w:spacing w:after="50"/>
      </w:pPr>
      <w:r>
        <w:t xml:space="preserve">функциите за лицево разпознаване са изключени и това е документирано;</w:t>
      </w:r>
    </w:p>
    <w:p>
      <w:pPr>
        <w:pStyle w:val="ListParagraph"/>
        <w:numPr>
          <w:ilvl w:val="0"/>
          <w:numId w:val="2"/>
        </w:numPr>
        <w:spacing w:after="50"/>
      </w:pPr>
      <w:r>
        <w:t xml:space="preserve">има отворен API за събития към платформата KAI.</w:t>
      </w:r>
    </w:p>
    <w:p>
      <w:pPr>
        <w:pBdr>
          <w:left w:val="single" w:color="1E5F57" w:sz="18" w:space="6"/>
        </w:pBdr>
        <w:shd w:fill="E6F0EE" w:color="auto" w:val="clear"/>
        <w:spacing w:after="120" w:before="60"/>
        <w:ind w:left="120" w:right="120"/>
      </w:pPr>
      <w:r>
        <w:rPr>
          <w:color w:val="3A4A47"/>
          <w:sz w:val="18"/>
          <w:szCs w:val="18"/>
        </w:rPr>
        <w:t xml:space="preserve">В някои държави има ограничения за тези производители. В САЩ FCC забрани през 2022 г. разрешаването на ново тяхно оборудване. Във Великобритания правителството спря през 2022 г. монтажа им на чувствителни държавни обекти. МОН преценява дали да ги допусне в списъка на сертифицираните решения.</w:t>
      </w:r>
    </w:p>
    <w:p>
      <w:pPr>
        <w:pStyle w:val="Heading1"/>
        <w:pageBreakBefore/>
      </w:pPr>
      <w:r>
        <w:t xml:space="preserve">7. Пакет за обекта (Перо 1)</w:t>
      </w:r>
    </w:p>
    <w:p>
      <w:pPr>
        <w:spacing w:after="100"/>
      </w:pPr>
      <w:r>
        <w:t xml:space="preserve">Анализът вижда само това, което камерата му показва. Височината, ъгълът, светлината и точното време решават колко сигнала ще са верни. Раздел 7 е задължителен за всеки пакет по Перо 1.</w:t>
      </w:r>
    </w:p>
    <w:p>
      <w:pPr>
        <w:pStyle w:val="Heading2"/>
      </w:pPr>
      <w:r>
        <w:t xml:space="preserve">7.1 Минимален състав на пакета</w:t>
      </w:r>
    </w:p>
    <w:p>
      <w:pPr>
        <w:spacing w:after="100"/>
      </w:pPr>
      <w:r>
        <w:t xml:space="preserve">Пакетът е за един обект и е еднократен. Максималният бюджет е </w:t>
      </w:r>
      <w:r>
        <w:rPr>
          <w:b/>
          <w:bCs/>
        </w:rPr>
        <w:t xml:space="preserve">22 400 € без ДДС (26 880 € с ДДС)</w:t>
      </w:r>
      <w:r>
        <w:t xml:space="preserve"> на обект. Позициите са минимални. Всяка позиция е задължителна.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700"/>
        <w:gridCol w:w="3600"/>
        <w:gridCol w:w="1000"/>
        <w:gridCol w:w="4338"/>
      </w:tblGrid>
      <w:tr>
        <w:trPr>
          <w:cantSplit/>
          <w:tblHeader/>
        </w:trPr>
        <w:tc>
          <w:tcPr>
            <w:tcW w:type="dxa" w:w="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w:t>
            </w:r>
          </w:p>
        </w:tc>
        <w:tc>
          <w:tcPr>
            <w:tcW w:type="dxa" w:w="3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Позиция</w:t>
            </w:r>
          </w:p>
        </w:tc>
        <w:tc>
          <w:tcPr>
            <w:tcW w:type="dxa" w:w="1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Мин. бр.</w:t>
            </w:r>
          </w:p>
        </w:tc>
        <w:tc>
          <w:tcPr>
            <w:tcW w:type="dxa" w:w="43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Минимални изисквания</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Оборудване и лицензи</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Камера за порта с калибриран анализ на височината (Bosch/IQSIGHT IVA Pro Perimeter или еквивалент)</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6.3; анализ в камерата; ръст в метри; линия с посока; MNT-01, MNT-02, MNT-05</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1.2</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Камера за двора и оградата</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4</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ONVIF Profile S/T; ИЧ и WDR; покритие на цялата ограда без мъртви зони (MNT-03)</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1.3</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Лицензи за управление на видеото (Genetec Security Center или еквивалент)</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6</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за всички камери на обекта; по 6.3</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1.4</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Лицензи за анализ на сървъра (KiwiVision или еквивалент)</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4</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за камерите на двора и оградата; размиване на хора в кадъра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1.5</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Локален сървър за запис и анализ</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в обекта; 8 TB полезен обем в RAID 1; ресурс за анализа на 4 камери; записът остава в градината и се изтрива след 30 дни (MNT-10)</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1.6</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Управляем PoE комутатор</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поне 8 порта, PoE бюджет поне 180 W, VLAN (MNT-07)</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1.7</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Рутер със защитна стена за отделната мрежа</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2 SIM слота с автоматично превключване; криптиран тунел само изходящ към платформата; без връзка с мрежата на градината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1.8</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UPS</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за сървъра, комутатора и рутера, поне 30 мин (MNT-08)</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1.9</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Сензор за порта с монтаж (Shelly или еквивалент)</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6.3; стабилна връзка в мястото на монтажа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1.10</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Сигнал на място: светлина и звук на портите и в двора</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6.3 и FR-60; без сирена (MNT-12)</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Монтаж и въвеждане в експлоатация</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1.11</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Монтаж, окабеляване, шкаф</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 компл.</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7.2</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1.12</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Въвеждане в експлоатация, калибриране, обучение на персонала</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 компл.</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7.2, раздел 8 и 9.2; включва обучение по ИИ (чл. 4 от AI Act)</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1.13</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Техническо приложение към ОВЗД за обекта, табели, информация за родители и служители</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1 компл.</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по раздел 10</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5 години след протокола за приемане</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1.14</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Техническа поддръжка на оборудването</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5 години</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ремонт и подмяна на място по SLA (9.5), обновяване на фърмуера, донастройка след промени на обекта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1.15</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Гаранция и резервни части</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5 години</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за позиции 1.1 до 1.10</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b/>
                <w:bCs/>
                <w:sz w:val="16"/>
                <w:szCs w:val="16"/>
              </w:rPr>
              <w:t xml:space="preserve">1.16</w:t>
            </w:r>
          </w:p>
        </w:tc>
        <w:tc>
          <w:tcPr>
            <w:tcW w:type="dxa" w:w="3600"/>
            <w:tcMar>
              <w:top w:type="dxa" w:w="40"/>
              <w:left w:type="dxa" w:w="70"/>
              <w:bottom w:type="dxa" w:w="40"/>
              <w:right w:type="dxa" w:w="70"/>
            </w:tcMar>
            <w:vAlign w:val="top"/>
          </w:tcPr>
          <w:p>
            <w:pPr>
              <w:keepNext w:val="false"/>
              <w:keepLines/>
              <w:spacing w:after="0" w:line="240"/>
              <w:jc w:val="left"/>
            </w:pPr>
            <w:r>
              <w:rPr>
                <w:sz w:val="16"/>
                <w:szCs w:val="16"/>
              </w:rPr>
              <w:t xml:space="preserve">Свързаност: 2 SIM карти от двама различни мобилни оператори в отделна частна мрежа (напр. A1 и Vivacom)</w:t>
            </w:r>
          </w:p>
        </w:tc>
        <w:tc>
          <w:tcPr>
            <w:tcW w:type="dxa" w:w="1000"/>
            <w:tcMar>
              <w:top w:type="dxa" w:w="40"/>
              <w:left w:type="dxa" w:w="70"/>
              <w:bottom w:type="dxa" w:w="40"/>
              <w:right w:type="dxa" w:w="70"/>
            </w:tcMar>
            <w:vAlign w:val="top"/>
          </w:tcPr>
          <w:p>
            <w:pPr>
              <w:keepNext w:val="false"/>
              <w:keepLines/>
              <w:spacing w:after="0" w:line="240"/>
              <w:jc w:val="center"/>
            </w:pPr>
            <w:r>
              <w:rPr>
                <w:sz w:val="16"/>
                <w:szCs w:val="16"/>
              </w:rPr>
              <w:t xml:space="preserve">5 години</w:t>
            </w:r>
          </w:p>
        </w:tc>
        <w:tc>
          <w:tcPr>
            <w:tcW w:type="dxa" w:w="4338"/>
            <w:tcMar>
              <w:top w:type="dxa" w:w="40"/>
              <w:left w:type="dxa" w:w="70"/>
              <w:bottom w:type="dxa" w:w="40"/>
              <w:right w:type="dxa" w:w="70"/>
            </w:tcMar>
            <w:vAlign w:val="top"/>
          </w:tcPr>
          <w:p>
            <w:pPr>
              <w:keepNext w:val="false"/>
              <w:keepLines/>
              <w:spacing w:after="0" w:line="240"/>
              <w:jc w:val="left"/>
            </w:pPr>
            <w:r>
              <w:rPr>
                <w:sz w:val="16"/>
                <w:szCs w:val="16"/>
              </w:rPr>
              <w:t xml:space="preserve">трафикът е включен; измерено покритие на двата оператора (MNT-13)</w:t>
            </w:r>
          </w:p>
        </w:tc>
      </w:tr>
    </w:tbl>
    <w:p>
      <w:pPr>
        <w:spacing w:after="120"/>
      </w:pPr>
    </w:p>
    <w:p>
      <w:pPr>
        <w:keepNext/>
        <w:spacing w:after="100"/>
      </w:pPr>
      <w:r>
        <w:rPr>
          <w:b/>
          <w:bCs/>
        </w:rPr>
        <w:t xml:space="preserve">Правила за пакета:</w:t>
      </w:r>
    </w:p>
    <w:p>
      <w:pPr>
        <w:pStyle w:val="ListParagraph"/>
        <w:numPr>
          <w:ilvl w:val="0"/>
          <w:numId w:val="2"/>
        </w:numPr>
        <w:spacing w:after="50"/>
      </w:pPr>
      <w:r>
        <w:t xml:space="preserve">Обект е сграда на градината с двор. Филиал на друг адрес със свой двор е отделен обект с отделен пакет.</w:t>
      </w:r>
    </w:p>
    <w:p>
      <w:pPr>
        <w:pStyle w:val="ListParagraph"/>
        <w:numPr>
          <w:ilvl w:val="0"/>
          <w:numId w:val="2"/>
        </w:numPr>
        <w:spacing w:after="50"/>
      </w:pPr>
      <w:r>
        <w:t xml:space="preserve">Партньорът може да добави позиции (напр. камера за трета порта) в рамките на максималния бюджет. Допълнителните позиции се посочват отделно в ценовата таблица.</w:t>
      </w:r>
    </w:p>
    <w:p>
      <w:pPr>
        <w:pStyle w:val="ListParagraph"/>
        <w:numPr>
          <w:ilvl w:val="0"/>
          <w:numId w:val="2"/>
        </w:numPr>
        <w:spacing w:after="50"/>
      </w:pPr>
      <w:r>
        <w:t xml:space="preserve">Оборудването е собственост на градината. Лицензите и гаранциите се издават на името на градината.</w:t>
      </w:r>
    </w:p>
    <w:p>
      <w:pPr>
        <w:pStyle w:val="ListParagraph"/>
        <w:numPr>
          <w:ilvl w:val="0"/>
          <w:numId w:val="2"/>
        </w:numPr>
        <w:spacing w:after="50"/>
      </w:pPr>
      <w:r>
        <w:t xml:space="preserve">Поддръжката, гаранцията и свързаността за 5 години започват от датата на протокола за приемане на обекта.</w:t>
      </w:r>
    </w:p>
    <w:p>
      <w:pPr>
        <w:pStyle w:val="ListParagraph"/>
        <w:numPr>
          <w:ilvl w:val="0"/>
          <w:numId w:val="2"/>
        </w:numPr>
        <w:spacing w:after="50"/>
      </w:pPr>
      <w:r>
        <w:t xml:space="preserve">Перо 1 не включва платформата KAI и годишното обслужване. Те са в Перо 2 (9.4).</w:t>
      </w:r>
    </w:p>
    <w:p>
      <w:pPr>
        <w:pStyle w:val="Heading2"/>
      </w:pPr>
      <w:r>
        <w:t xml:space="preserve">7.2 Изисквания към монтажа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000"/>
        <w:gridCol w:w="5638"/>
        <w:gridCol w:w="3000"/>
      </w:tblGrid>
      <w:tr>
        <w:trPr>
          <w:cantSplit/>
          <w:tblHeader/>
        </w:trPr>
        <w:tc>
          <w:tcPr>
            <w:tcW w:type="dxa" w:w="1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ID</w:t>
            </w:r>
          </w:p>
        </w:tc>
        <w:tc>
          <w:tcPr>
            <w:tcW w:type="dxa" w:w="56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w:t>
            </w:r>
          </w:p>
        </w:tc>
        <w:tc>
          <w:tcPr>
            <w:tcW w:type="dxa" w:w="3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 се проверява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MNT-01</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Камерите на портите са на височина около 2,5–3 m. Детето е в кадъра в цял ръст, от главата до краката, от двете страни на линията. Линията за пресичане е отвън на портата, където камерата вижда и детето, и придружителя.</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Схема на двора и кадър от всяка камера в протокола.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MNT-02</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Без контражур: камерата не гледа към изгряващото или залязващото слънце или към осветен вход. ИЧ осветление и WDR, защото през зимата воденето започва на тъмно.</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Сценарий 2 на здрач и през нощта.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MNT-03</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Оградата е покрита изцяло. Зрителните полета се застъпват, в ъглите и зад съоръженията няма мъртви зони. Най-далечната точка показва човек с достатъчно пиксели за анализа. Храсти, знамена и сенки от дървета влизат в зоните за изключване.</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Обход на оградата и нощна проверка на всеки участък с ИЧ.</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MNT-04</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Забранени зони по ДАЗД: без камери в групите, спалните, санитарните помещения и помещенията за лична хигиена. Камерите в двора не виждат през прозорци към тях. Съседните имоти и улицата се маскират.</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Кадър от всяка камера с маските; подпис на директора.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MNT-05</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Калибриране на камерите на портите по височина на монтажа, наклон и фокусно разстояние. Проверка с референтни пръти от 1 m и 1,5 m в няколко точки, близо и далеч. Прагове 1,30 m и 1,50 m. Измереният ръст се записва в протокола.</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Протокол от калибрирането за всяка камера.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MNT-06</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Отделна мрежа (VLAN) за камерите, сървъра и сензорите зад отделния рутер, без връзка с мрежата на градината. Камерите нямат достъп до интернет. Облачните P2P услуги на производителите са изключени. Фабричните пароли са сменени, фърмуерът е обновен преди приемането.</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Мрежова схема и тест за изходящ трафик от камерите.</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MNT-07</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PoE бюджет с резерв: 6 камери по до 25 W = 150 W; комутатор с поне 180 W.</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Спецификация и показание на комутатора.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MNT-08</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UPS за комутатора, сървъра и рутера с автономия поне 30 мин.</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Сценарий 8 със спрян ток.</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MNT-09</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NTP за всички устройства от един източник в обекта. Отклонение под 1 с.</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Сравнение на часовниците при приемането.</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MNT-10</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Непрекъснат запис на 6 камери за 30 дни: 6 × 4 Mbit/s = 24 Mbit/s, около 259 GB на ден, около 7,8 TB за 30 дни. Полезен обем 8 TB в RAID 1. Праг за предупреждение 85%.</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Конфигурация на записа и заетост на диска след 30 дни.</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MNT-11</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В двора има Wi-Fi или проверено мобилно покритие за телефоните на персонала.</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Измерване в зоните на двора.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MNT-12</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Сигналът на място се вижда и чува от портите и от мястото на дежурния в двора. Силата на звука е ниска, без сирена.</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Проверка на място с директора.</w:t>
            </w:r>
          </w:p>
        </w:tc>
      </w:tr>
      <w:tr>
        <w:trPr>
          <w:cantSplit/>
        </w:trPr>
        <w:tc>
          <w:tcPr>
            <w:tcW w:type="dxa" w:w="1000"/>
            <w:tcMar>
              <w:top w:type="dxa" w:w="40"/>
              <w:left w:type="dxa" w:w="70"/>
              <w:bottom w:type="dxa" w:w="40"/>
              <w:right w:type="dxa" w:w="70"/>
            </w:tcMar>
            <w:vAlign w:val="top"/>
          </w:tcPr>
          <w:p>
            <w:pPr>
              <w:keepNext w:val="false"/>
              <w:keepLines/>
              <w:spacing w:after="0" w:line="240"/>
              <w:jc w:val="left"/>
            </w:pPr>
            <w:r>
              <w:rPr>
                <w:b/>
                <w:bCs/>
                <w:sz w:val="16"/>
                <w:szCs w:val="16"/>
              </w:rPr>
              <w:t xml:space="preserve">MNT-13</w:t>
            </w:r>
          </w:p>
        </w:tc>
        <w:tc>
          <w:tcPr>
            <w:tcW w:type="dxa" w:w="5638"/>
            <w:tcMar>
              <w:top w:type="dxa" w:w="40"/>
              <w:left w:type="dxa" w:w="70"/>
              <w:bottom w:type="dxa" w:w="40"/>
              <w:right w:type="dxa" w:w="70"/>
            </w:tcMar>
            <w:vAlign w:val="top"/>
          </w:tcPr>
          <w:p>
            <w:pPr>
              <w:keepNext w:val="false"/>
              <w:keepLines/>
              <w:spacing w:after="0" w:line="240"/>
              <w:jc w:val="left"/>
            </w:pPr>
            <w:r>
              <w:rPr>
                <w:sz w:val="16"/>
                <w:szCs w:val="16"/>
              </w:rPr>
              <w:t xml:space="preserve">Рутерът е на място с покритие на двата мобилни оператора. При нужда се ползва външна антена. Превключването между операторите е автоматично.</w:t>
            </w:r>
          </w:p>
        </w:tc>
        <w:tc>
          <w:tcPr>
            <w:tcW w:type="dxa" w:w="3000"/>
            <w:tcMar>
              <w:top w:type="dxa" w:w="40"/>
              <w:left w:type="dxa" w:w="70"/>
              <w:bottom w:type="dxa" w:w="40"/>
              <w:right w:type="dxa" w:w="70"/>
            </w:tcMar>
            <w:vAlign w:val="top"/>
          </w:tcPr>
          <w:p>
            <w:pPr>
              <w:keepNext w:val="false"/>
              <w:keepLines/>
              <w:spacing w:after="0" w:line="240"/>
              <w:jc w:val="left"/>
            </w:pPr>
            <w:r>
              <w:rPr>
                <w:sz w:val="16"/>
                <w:szCs w:val="16"/>
              </w:rPr>
              <w:t xml:space="preserve">Измерване на сигнала на двата оператора; сценарий 8 с изключена SIM карта.</w:t>
            </w:r>
          </w:p>
        </w:tc>
      </w:tr>
    </w:tbl>
    <w:p>
      <w:pPr>
        <w:spacing w:after="120"/>
      </w:pPr>
    </w:p>
    <w:p>
      <w:pPr>
        <w:pStyle w:val="Heading2"/>
      </w:pPr>
      <w:r>
        <w:t xml:space="preserve">7.3 Документация при предаване на обекта</w:t>
      </w:r>
    </w:p>
    <w:p>
      <w:pPr>
        <w:pStyle w:val="ListParagraph"/>
        <w:numPr>
          <w:ilvl w:val="0"/>
          <w:numId w:val="2"/>
        </w:numPr>
        <w:spacing w:after="50"/>
      </w:pPr>
      <w:r>
        <w:t xml:space="preserve">Схема на двора с камерите, зрителните полета, линиите и зоните; мрежова схема (VLAN, адреси, рутер, SIM карти, криптиран тунел).</w:t>
      </w:r>
    </w:p>
    <w:p>
      <w:pPr>
        <w:pStyle w:val="ListParagraph"/>
        <w:numPr>
          <w:ilvl w:val="0"/>
          <w:numId w:val="2"/>
        </w:numPr>
        <w:spacing w:after="50"/>
      </w:pPr>
      <w:r>
        <w:t xml:space="preserve">Настройки на всяка камера и протокол от калибрирането; правилата във видео сървъра и графикът на портите.</w:t>
      </w:r>
    </w:p>
    <w:p>
      <w:pPr>
        <w:pStyle w:val="ListParagraph"/>
        <w:numPr>
          <w:ilvl w:val="0"/>
          <w:numId w:val="2"/>
        </w:numPr>
        <w:spacing w:after="50"/>
      </w:pPr>
      <w:r>
        <w:t xml:space="preserve">Протокол за приемане на обекта; техническо приложение към ОВЗД; табели и информация за родители и служители.</w:t>
      </w:r>
    </w:p>
    <w:p>
      <w:pPr>
        <w:pStyle w:val="ListParagraph"/>
        <w:numPr>
          <w:ilvl w:val="0"/>
          <w:numId w:val="2"/>
        </w:numPr>
        <w:spacing w:after="50"/>
      </w:pPr>
      <w:r>
        <w:t xml:space="preserve">Списък на лицата с достъп по заповед на директора; инструкция за дежурния и за ескалацията; ред за поддръжка и контакт при инциденти.</w:t>
      </w:r>
    </w:p>
    <w:p>
      <w:pPr>
        <w:pStyle w:val="ListParagraph"/>
        <w:numPr>
          <w:ilvl w:val="0"/>
          <w:numId w:val="2"/>
        </w:numPr>
        <w:spacing w:after="50"/>
      </w:pPr>
      <w:r>
        <w:t xml:space="preserve">Експорт на конфигурацията, достатъчен друг сертифициран партньор да поеме обекта.</w:t>
      </w:r>
    </w:p>
    <w:p>
      <w:pPr>
        <w:pStyle w:val="Heading1"/>
      </w:pPr>
      <w:r>
        <w:t xml:space="preserve">8. Приемане</w:t>
      </w:r>
    </w:p>
    <w:p>
      <w:pPr>
        <w:spacing w:after="100"/>
      </w:pPr>
      <w:r>
        <w:t xml:space="preserve">Приемането има две нива. </w:t>
      </w:r>
      <w:r>
        <w:rPr>
          <w:b/>
          <w:bCs/>
        </w:rPr>
        <w:t xml:space="preserve">Проверка в 3 градини</w:t>
      </w:r>
      <w:r>
        <w:t xml:space="preserve"> (2 частни и 1 общинска) през 02–04.2027 изпитва решението с всички сценарии от 8.1. Тя е част от сертифицирането на решенията и партньорите (раздел 12). </w:t>
      </w:r>
      <w:r>
        <w:rPr>
          <w:b/>
          <w:bCs/>
        </w:rPr>
        <w:t xml:space="preserve">Приемане на всеки обект</w:t>
      </w:r>
      <w:r>
        <w:t xml:space="preserve"> с протокол през 05–07.2027 изпитва монтажа и настройката с основните сценарии. Плащането за годишната услуга (Перо 2) започва след подписания протокол за приемане на обекта.</w:t>
      </w:r>
    </w:p>
    <w:p>
      <w:pPr>
        <w:spacing w:after="100"/>
      </w:pPr>
      <w:r>
        <w:t xml:space="preserve">Изпитванията са с инсценирани сценарии: възрастен статист с ръст до около 1,2 m или кукла на подвижна стойка. Всеки сценарий се повтаря достатъчно пъти за процентите в критерия. Броят повторения е в плана за изпитване. Колоната „Обект“ показва кои сценарии са задължителни при приемането на всеки обект.</w:t>
      </w:r>
    </w:p>
    <w:p>
      <w:pPr>
        <w:pStyle w:val="Heading2"/>
      </w:pPr>
      <w:r>
        <w:t xml:space="preserve">8.1 Приемни сценарии</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500"/>
        <w:gridCol w:w="3138"/>
        <w:gridCol w:w="2500"/>
        <w:gridCol w:w="2200"/>
        <w:gridCol w:w="1300"/>
      </w:tblGrid>
      <w:tr>
        <w:trPr>
          <w:cantSplit/>
          <w:tblHeader/>
        </w:trPr>
        <w:tc>
          <w:tcPr>
            <w:tcW w:type="dxa" w:w="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w:t>
            </w:r>
          </w:p>
        </w:tc>
        <w:tc>
          <w:tcPr>
            <w:tcW w:type="dxa" w:w="31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Сценарий</w:t>
            </w:r>
          </w:p>
        </w:tc>
        <w:tc>
          <w:tcPr>
            <w:tcW w:type="dxa" w:w="2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Очакван резултат</w:t>
            </w:r>
          </w:p>
        </w:tc>
        <w:tc>
          <w:tcPr>
            <w:tcW w:type="dxa" w:w="22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Критерий</w:t>
            </w:r>
          </w:p>
        </w:tc>
        <w:tc>
          <w:tcPr>
            <w:tcW w:type="dxa" w:w="13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Обект</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Нисък обект излиза сам през Порта 1 и Порта 2 през деня</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критичен сигнал до дежурния и втория дежурен</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 95% засечени; известие ≤ 5 с</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Същото на здрач, при контражур и през нощта с ИЧ</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критичен сигнал</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 95% засечени</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 поне нощ с ИЧ</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3</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Нисък обект излиза с възрастен до себе си</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без сигнал</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0 сигнала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4</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Наведен възрастен, висок 7-годишен, дете зад чужд родител</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поведението се описва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сивите зони са записани в протокола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проверка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5</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Пресичане на оградата при режим „двор“ (К1–К4), включен по график и ръчно; същото при изключен режим</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сигнал „пресичане“ само при включен режим</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 95% засечени; 0 сигнала при изключен режим</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6</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Порта отворена извън графика (S1, S2)</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сигнал от сензора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известие ≤ 5 с</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7</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Никой не потвърждава сигнала</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ескалация към втория дежурен и директора, SMS и обаждане</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ескалация на 30 с и 60 с</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8</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Изключена камера, спрян ток, изключена SIM карта на единия оператор, прекъсната връзка</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технически сигнал; UPS държи; връзката продължава през другия оператор</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технически сигнал до 1 мин</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9</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Нормален ден без инсценировки</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брой фалшиви сигнали</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 1–2 на градина на ден</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първите 10 работни дни</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10</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Заявка за клип от роля без право; заявка от координатор с одобрение</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отказ, съответно достъп за 48 ч</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и двете са в журнала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да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11</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Изтичане на срока за съхранение (тест с намален срок)</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автоматично изтриване</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записът е изтрит и действието е в журнала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проверка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12</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Спиране на профил на загубен телефон</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приложението губи достъп и изтрива данните си</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при следващо свързване</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проверка</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13</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нисък обект излиза с упълномощено лице, което минава с карта, QR код или PIN</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без сигнал; запис в регистъра на вземането</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0 сигнала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14</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Катерене по оградата при режим „двор“ (FR-61, желателно)</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сигнал „пресичане на ограда“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сигнал при включен режим</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ако е оферирано</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15</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сутрин дете с метка и родител с ключодържател влизат през Порта 1</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детето е отбелязано като дошло; учителят го приема с едно докосване; присъствието е в електронния дневник</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вярна посока ≥ 98%; в дневника до 5 мин</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16</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учителят предава детето; детето и упълномощен възрастен минават навън заедно</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запис „взето от упълномощено лице“ с час; известие до родителя през дневника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всяко вземане е записано; известие до 1 мин</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17</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дете с метка отива само към Порта 2 и опитва да излезе</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ключалката не се отваря; сигнал до дежурния, сигнал на място, клип</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0 отваряния; известие ≤ 5 с</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18</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дете с метка излиза с възрастен без метка или с възрастен, който не е упълномощен за него (порта, отворена с картата на друг родител)</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сигнал „непознат придружител“ до дежурния и директора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известие ≤ 5 с</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19</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5 семейства минават през портата едновременно в пиковия час</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всяко дете е свързано с упълномощен за него възрастен в прозореца ±5 с</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всички вземания са записани; 0 сигнала при верни двойки</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20</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забравена метка на дете; изтощена батерия на ключодържател</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вход с QR код, карта или отваряне от дежурния; ръчно отбелязване</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детето е отбелязано; отварянето е в журнала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21</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пожарна аларма (тест на централата) и авариен бутон; същото при изключен сървър на KAI</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ключалката се отключва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отключване веднага; събитие в журнала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22</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О9: прибиране на група от двора, едно дете остава при люлките</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преброяване; липсващото дете е в списъка с последна зона и час</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до 10 с след края на режим „двор“</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О9</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23</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О9: режим „търсене“ от дежурния при инцидент; опит за отваряне от роля без право; проверка след 60 мин</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път за последните 60 мин и клип; отказ за ролята без право; пътят е изтрит</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отварянията и изтриването са в журнала; няма път след 60 мин</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О9</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24</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О9: „топло/студено“ с телефона на учителя в режим „търсене“</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показанието води учителя до метката</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смяна на показанието от около 20 m до 2 m</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О9</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25</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О9: дете с метка влиза в сградата и минава през няколко помещения</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статус „в сградата“, без засичане вътре</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в базата няма данни за помещенията</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О9</w:t>
            </w:r>
          </w:p>
        </w:tc>
      </w:tr>
      <w:tr>
        <w:trPr>
          <w:cantSplit/>
        </w:trPr>
        <w:tc>
          <w:tcPr>
            <w:tcW w:type="dxa" w:w="500"/>
            <w:tcMar>
              <w:top w:type="dxa" w:w="40"/>
              <w:left w:type="dxa" w:w="70"/>
              <w:bottom w:type="dxa" w:w="40"/>
              <w:right w:type="dxa" w:w="70"/>
            </w:tcMar>
            <w:vAlign w:val="top"/>
          </w:tcPr>
          <w:p>
            <w:pPr>
              <w:keepNext w:val="false"/>
              <w:keepLines/>
              <w:spacing w:after="0" w:line="240"/>
              <w:jc w:val="center"/>
            </w:pPr>
            <w:r>
              <w:rPr>
                <w:sz w:val="16"/>
                <w:szCs w:val="16"/>
              </w:rPr>
              <w:t xml:space="preserve">26</w:t>
            </w:r>
          </w:p>
        </w:tc>
        <w:tc>
          <w:tcPr>
            <w:tcW w:type="dxa" w:w="3138"/>
            <w:tcMar>
              <w:top w:type="dxa" w:w="40"/>
              <w:left w:type="dxa" w:w="70"/>
              <w:bottom w:type="dxa" w:w="40"/>
              <w:right w:type="dxa" w:w="70"/>
            </w:tcMar>
            <w:vAlign w:val="top"/>
          </w:tcPr>
          <w:p>
            <w:pPr>
              <w:keepNext w:val="false"/>
              <w:keepLines/>
              <w:spacing w:after="0" w:line="240"/>
              <w:jc w:val="left"/>
            </w:pPr>
            <w:r>
              <w:rPr>
                <w:sz w:val="16"/>
                <w:szCs w:val="16"/>
              </w:rPr>
              <w:t xml:space="preserve">О8: дете с метка пресича оградата при режим „двор“</w:t>
            </w:r>
          </w:p>
        </w:tc>
        <w:tc>
          <w:tcPr>
            <w:tcW w:type="dxa" w:w="2500"/>
            <w:tcMar>
              <w:top w:type="dxa" w:w="40"/>
              <w:left w:type="dxa" w:w="70"/>
              <w:bottom w:type="dxa" w:w="40"/>
              <w:right w:type="dxa" w:w="70"/>
            </w:tcMar>
            <w:vAlign w:val="top"/>
          </w:tcPr>
          <w:p>
            <w:pPr>
              <w:keepNext w:val="false"/>
              <w:keepLines/>
              <w:spacing w:after="0" w:line="240"/>
              <w:jc w:val="left"/>
            </w:pPr>
            <w:r>
              <w:rPr>
                <w:sz w:val="16"/>
                <w:szCs w:val="16"/>
              </w:rPr>
              <w:t xml:space="preserve">сигнал „пресичане на ограда“ от видеото</w:t>
            </w:r>
          </w:p>
        </w:tc>
        <w:tc>
          <w:tcPr>
            <w:tcW w:type="dxa" w:w="2200"/>
            <w:tcMar>
              <w:top w:type="dxa" w:w="40"/>
              <w:left w:type="dxa" w:w="70"/>
              <w:bottom w:type="dxa" w:w="40"/>
              <w:right w:type="dxa" w:w="70"/>
            </w:tcMar>
            <w:vAlign w:val="top"/>
          </w:tcPr>
          <w:p>
            <w:pPr>
              <w:keepNext w:val="false"/>
              <w:keepLines/>
              <w:spacing w:after="0" w:line="240"/>
              <w:jc w:val="left"/>
            </w:pPr>
            <w:r>
              <w:rPr>
                <w:sz w:val="16"/>
                <w:szCs w:val="16"/>
              </w:rPr>
              <w:t xml:space="preserve">≥ 95% засечени, както в сценарий 5</w:t>
            </w:r>
          </w:p>
        </w:tc>
        <w:tc>
          <w:tcPr>
            <w:tcW w:type="dxa" w:w="1300"/>
            <w:tcMar>
              <w:top w:type="dxa" w:w="40"/>
              <w:left w:type="dxa" w:w="70"/>
              <w:bottom w:type="dxa" w:w="40"/>
              <w:right w:type="dxa" w:w="70"/>
            </w:tcMar>
            <w:vAlign w:val="top"/>
          </w:tcPr>
          <w:p>
            <w:pPr>
              <w:keepNext w:val="false"/>
              <w:keepLines/>
              <w:spacing w:after="0" w:line="240"/>
              <w:jc w:val="left"/>
            </w:pPr>
            <w:r>
              <w:rPr>
                <w:sz w:val="16"/>
                <w:szCs w:val="16"/>
              </w:rPr>
              <w:t xml:space="preserve">при О8</w:t>
            </w:r>
          </w:p>
        </w:tc>
      </w:tr>
    </w:tbl>
    <w:p>
      <w:pPr>
        <w:spacing w:after="120"/>
      </w:pPr>
    </w:p>
    <w:p>
      <w:pPr>
        <w:pStyle w:val="Heading2"/>
      </w:pPr>
      <w:r>
        <w:t xml:space="preserve">8.2 Цели за приемане на всеки обект</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3800"/>
        <w:gridCol w:w="2638"/>
        <w:gridCol w:w="3200"/>
      </w:tblGrid>
      <w:tr>
        <w:trPr>
          <w:cantSplit/>
          <w:tblHeader/>
        </w:trPr>
        <w:tc>
          <w:tcPr>
            <w:tcW w:type="dxa" w:w="3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Показател</w:t>
            </w:r>
          </w:p>
        </w:tc>
        <w:tc>
          <w:tcPr>
            <w:tcW w:type="dxa" w:w="26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Цел</w:t>
            </w:r>
          </w:p>
        </w:tc>
        <w:tc>
          <w:tcPr>
            <w:tcW w:type="dxa" w:w="32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 се мери</w:t>
            </w:r>
          </w:p>
        </w:tc>
      </w:tr>
      <w:tr>
        <w:trPr>
          <w:cantSplit/>
        </w:trPr>
        <w:tc>
          <w:tcPr>
            <w:tcW w:type="dxa" w:w="3800"/>
            <w:tcMar>
              <w:top w:type="dxa" w:w="40"/>
              <w:left w:type="dxa" w:w="70"/>
              <w:bottom w:type="dxa" w:w="40"/>
              <w:right w:type="dxa" w:w="70"/>
            </w:tcMar>
            <w:vAlign w:val="top"/>
          </w:tcPr>
          <w:p>
            <w:pPr>
              <w:keepNext w:val="false"/>
              <w:keepLines/>
              <w:spacing w:after="0" w:line="240"/>
              <w:jc w:val="left"/>
            </w:pPr>
            <w:r>
              <w:rPr>
                <w:b/>
                <w:bCs/>
                <w:sz w:val="16"/>
                <w:szCs w:val="16"/>
              </w:rPr>
              <w:t xml:space="preserve">Време от засичане до известие</w:t>
            </w:r>
          </w:p>
        </w:tc>
        <w:tc>
          <w:tcPr>
            <w:tcW w:type="dxa" w:w="2638"/>
            <w:tcMar>
              <w:top w:type="dxa" w:w="40"/>
              <w:left w:type="dxa" w:w="70"/>
              <w:bottom w:type="dxa" w:w="40"/>
              <w:right w:type="dxa" w:w="70"/>
            </w:tcMar>
            <w:vAlign w:val="top"/>
          </w:tcPr>
          <w:p>
            <w:pPr>
              <w:keepNext w:val="false"/>
              <w:keepLines/>
              <w:spacing w:after="0" w:line="240"/>
              <w:jc w:val="left"/>
            </w:pPr>
            <w:r>
              <w:rPr>
                <w:sz w:val="16"/>
                <w:szCs w:val="16"/>
              </w:rPr>
              <w:t xml:space="preserve">≤ 3–5 с (горна граница 5 с)</w:t>
            </w:r>
          </w:p>
        </w:tc>
        <w:tc>
          <w:tcPr>
            <w:tcW w:type="dxa" w:w="3200"/>
            <w:tcMar>
              <w:top w:type="dxa" w:w="40"/>
              <w:left w:type="dxa" w:w="70"/>
              <w:bottom w:type="dxa" w:w="40"/>
              <w:right w:type="dxa" w:w="70"/>
            </w:tcMar>
            <w:vAlign w:val="top"/>
          </w:tcPr>
          <w:p>
            <w:pPr>
              <w:keepNext w:val="false"/>
              <w:keepLines/>
              <w:spacing w:after="0" w:line="240"/>
              <w:jc w:val="left"/>
            </w:pPr>
            <w:r>
              <w:rPr>
                <w:sz w:val="16"/>
                <w:szCs w:val="16"/>
              </w:rPr>
              <w:t xml:space="preserve">времеви печати в журнала</w:t>
            </w:r>
          </w:p>
        </w:tc>
      </w:tr>
      <w:tr>
        <w:trPr>
          <w:cantSplit/>
        </w:trPr>
        <w:tc>
          <w:tcPr>
            <w:tcW w:type="dxa" w:w="3800"/>
            <w:tcMar>
              <w:top w:type="dxa" w:w="40"/>
              <w:left w:type="dxa" w:w="70"/>
              <w:bottom w:type="dxa" w:w="40"/>
              <w:right w:type="dxa" w:w="70"/>
            </w:tcMar>
            <w:vAlign w:val="top"/>
          </w:tcPr>
          <w:p>
            <w:pPr>
              <w:keepNext w:val="false"/>
              <w:keepLines/>
              <w:spacing w:after="0" w:line="240"/>
              <w:jc w:val="left"/>
            </w:pPr>
            <w:r>
              <w:rPr>
                <w:b/>
                <w:bCs/>
                <w:sz w:val="16"/>
                <w:szCs w:val="16"/>
              </w:rPr>
              <w:t xml:space="preserve">Засечени пресичания в инсценирани сценарии</w:t>
            </w:r>
          </w:p>
        </w:tc>
        <w:tc>
          <w:tcPr>
            <w:tcW w:type="dxa" w:w="2638"/>
            <w:tcMar>
              <w:top w:type="dxa" w:w="40"/>
              <w:left w:type="dxa" w:w="70"/>
              <w:bottom w:type="dxa" w:w="40"/>
              <w:right w:type="dxa" w:w="70"/>
            </w:tcMar>
            <w:vAlign w:val="top"/>
          </w:tcPr>
          <w:p>
            <w:pPr>
              <w:keepNext w:val="false"/>
              <w:keepLines/>
              <w:spacing w:after="0" w:line="240"/>
              <w:jc w:val="left"/>
            </w:pPr>
            <w:r>
              <w:rPr>
                <w:sz w:val="16"/>
                <w:szCs w:val="16"/>
              </w:rPr>
              <w:t xml:space="preserve">≥ 95%</w:t>
            </w:r>
          </w:p>
        </w:tc>
        <w:tc>
          <w:tcPr>
            <w:tcW w:type="dxa" w:w="3200"/>
            <w:tcMar>
              <w:top w:type="dxa" w:w="40"/>
              <w:left w:type="dxa" w:w="70"/>
              <w:bottom w:type="dxa" w:w="40"/>
              <w:right w:type="dxa" w:w="70"/>
            </w:tcMar>
            <w:vAlign w:val="top"/>
          </w:tcPr>
          <w:p>
            <w:pPr>
              <w:keepNext w:val="false"/>
              <w:keepLines/>
              <w:spacing w:after="0" w:line="240"/>
              <w:jc w:val="left"/>
            </w:pPr>
            <w:r>
              <w:rPr>
                <w:sz w:val="16"/>
                <w:szCs w:val="16"/>
              </w:rPr>
              <w:t xml:space="preserve">протокол от сценарии 1, 2 и 5</w:t>
            </w:r>
          </w:p>
        </w:tc>
      </w:tr>
      <w:tr>
        <w:trPr>
          <w:cantSplit/>
        </w:trPr>
        <w:tc>
          <w:tcPr>
            <w:tcW w:type="dxa" w:w="3800"/>
            <w:tcMar>
              <w:top w:type="dxa" w:w="40"/>
              <w:left w:type="dxa" w:w="70"/>
              <w:bottom w:type="dxa" w:w="40"/>
              <w:right w:type="dxa" w:w="70"/>
            </w:tcMar>
            <w:vAlign w:val="top"/>
          </w:tcPr>
          <w:p>
            <w:pPr>
              <w:keepNext w:val="false"/>
              <w:keepLines/>
              <w:spacing w:after="0" w:line="240"/>
              <w:jc w:val="left"/>
            </w:pPr>
            <w:r>
              <w:rPr>
                <w:b/>
                <w:bCs/>
                <w:sz w:val="16"/>
                <w:szCs w:val="16"/>
              </w:rPr>
              <w:t xml:space="preserve">Фалшиви сигнали</w:t>
            </w:r>
          </w:p>
        </w:tc>
        <w:tc>
          <w:tcPr>
            <w:tcW w:type="dxa" w:w="2638"/>
            <w:tcMar>
              <w:top w:type="dxa" w:w="40"/>
              <w:left w:type="dxa" w:w="70"/>
              <w:bottom w:type="dxa" w:w="40"/>
              <w:right w:type="dxa" w:w="70"/>
            </w:tcMar>
            <w:vAlign w:val="top"/>
          </w:tcPr>
          <w:p>
            <w:pPr>
              <w:keepNext w:val="false"/>
              <w:keepLines/>
              <w:spacing w:after="0" w:line="240"/>
              <w:jc w:val="left"/>
            </w:pPr>
            <w:r>
              <w:rPr>
                <w:sz w:val="16"/>
                <w:szCs w:val="16"/>
              </w:rPr>
              <w:t xml:space="preserve">≤ 1–2 на градина на ден</w:t>
            </w:r>
          </w:p>
        </w:tc>
        <w:tc>
          <w:tcPr>
            <w:tcW w:type="dxa" w:w="3200"/>
            <w:tcMar>
              <w:top w:type="dxa" w:w="40"/>
              <w:left w:type="dxa" w:w="70"/>
              <w:bottom w:type="dxa" w:w="40"/>
              <w:right w:type="dxa" w:w="70"/>
            </w:tcMar>
            <w:vAlign w:val="top"/>
          </w:tcPr>
          <w:p>
            <w:pPr>
              <w:keepNext w:val="false"/>
              <w:keepLines/>
              <w:spacing w:after="0" w:line="240"/>
              <w:jc w:val="left"/>
            </w:pPr>
            <w:r>
              <w:rPr>
                <w:sz w:val="16"/>
                <w:szCs w:val="16"/>
              </w:rPr>
              <w:t xml:space="preserve">регистър на инцидентите, първите 10 работни дни</w:t>
            </w:r>
          </w:p>
        </w:tc>
      </w:tr>
      <w:tr>
        <w:trPr>
          <w:cantSplit/>
        </w:trPr>
        <w:tc>
          <w:tcPr>
            <w:tcW w:type="dxa" w:w="3800"/>
            <w:tcMar>
              <w:top w:type="dxa" w:w="40"/>
              <w:left w:type="dxa" w:w="70"/>
              <w:bottom w:type="dxa" w:w="40"/>
              <w:right w:type="dxa" w:w="70"/>
            </w:tcMar>
            <w:vAlign w:val="top"/>
          </w:tcPr>
          <w:p>
            <w:pPr>
              <w:keepNext w:val="false"/>
              <w:keepLines/>
              <w:spacing w:after="0" w:line="240"/>
              <w:jc w:val="left"/>
            </w:pPr>
            <w:r>
              <w:rPr>
                <w:b/>
                <w:bCs/>
                <w:sz w:val="16"/>
                <w:szCs w:val="16"/>
              </w:rPr>
              <w:t xml:space="preserve">Потвърждение от служител</w:t>
            </w:r>
          </w:p>
        </w:tc>
        <w:tc>
          <w:tcPr>
            <w:tcW w:type="dxa" w:w="2638"/>
            <w:tcMar>
              <w:top w:type="dxa" w:w="40"/>
              <w:left w:type="dxa" w:w="70"/>
              <w:bottom w:type="dxa" w:w="40"/>
              <w:right w:type="dxa" w:w="70"/>
            </w:tcMar>
            <w:vAlign w:val="top"/>
          </w:tcPr>
          <w:p>
            <w:pPr>
              <w:keepNext w:val="false"/>
              <w:keepLines/>
              <w:spacing w:after="0" w:line="240"/>
              <w:jc w:val="left"/>
            </w:pPr>
            <w:r>
              <w:rPr>
                <w:sz w:val="16"/>
                <w:szCs w:val="16"/>
              </w:rPr>
              <w:t xml:space="preserve">≤ 30 с, иначе ескалация</w:t>
            </w:r>
          </w:p>
        </w:tc>
        <w:tc>
          <w:tcPr>
            <w:tcW w:type="dxa" w:w="3200"/>
            <w:tcMar>
              <w:top w:type="dxa" w:w="40"/>
              <w:left w:type="dxa" w:w="70"/>
              <w:bottom w:type="dxa" w:w="40"/>
              <w:right w:type="dxa" w:w="70"/>
            </w:tcMar>
            <w:vAlign w:val="top"/>
          </w:tcPr>
          <w:p>
            <w:pPr>
              <w:keepNext w:val="false"/>
              <w:keepLines/>
              <w:spacing w:after="0" w:line="240"/>
              <w:jc w:val="left"/>
            </w:pPr>
            <w:r>
              <w:rPr>
                <w:sz w:val="16"/>
                <w:szCs w:val="16"/>
              </w:rPr>
              <w:t xml:space="preserve">регистър, време до потвърждение</w:t>
            </w:r>
          </w:p>
        </w:tc>
      </w:tr>
    </w:tbl>
    <w:p>
      <w:pPr>
        <w:spacing w:after="120"/>
      </w:pPr>
    </w:p>
    <w:p>
      <w:pPr>
        <w:spacing w:after="100"/>
      </w:pPr>
      <w:r>
        <w:t xml:space="preserve">Обект, който не покрие целите, не се приема. Партньорът отстранява причините и приемането се повтаря. Ако фалшивите сигнали в първите 10 работни дни са над целта, партньорът донастройва линиите, праговете и графиците без допълнително заплащане. Освен числата приемането проверява регистъра, мнението на персонала и мерките за защита на данните и сигурност.</w:t>
      </w:r>
    </w:p>
    <w:p>
      <w:pPr>
        <w:pStyle w:val="Heading1"/>
      </w:pPr>
      <w:r>
        <w:t xml:space="preserve">9. Изпълнение и годишна услуга</w:t>
      </w:r>
    </w:p>
    <w:p>
      <w:pPr>
        <w:pStyle w:val="Heading2"/>
      </w:pPr>
      <w:r>
        <w:t xml:space="preserve">9.1 График</w:t>
      </w:r>
    </w:p>
    <w:p>
      <w:pPr>
        <w:spacing w:after="100"/>
      </w:pPr>
      <w:r>
        <w:t xml:space="preserve">Пускането е наведнъж във всички градини от 01.09.2027.</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600"/>
        <w:gridCol w:w="4538"/>
        <w:gridCol w:w="3500"/>
      </w:tblGrid>
      <w:tr>
        <w:trPr>
          <w:cantSplit/>
          <w:tblHeader/>
        </w:trPr>
        <w:tc>
          <w:tcPr>
            <w:tcW w:type="dxa" w:w="1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Период</w:t>
            </w:r>
          </w:p>
        </w:tc>
        <w:tc>
          <w:tcPr>
            <w:tcW w:type="dxa" w:w="45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Дейност</w:t>
            </w:r>
          </w:p>
        </w:tc>
        <w:tc>
          <w:tcPr>
            <w:tcW w:type="dxa" w:w="3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Резултат</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10–12.2026</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Решение и работна група (МОН, КЗЛД, НСОРБ, общини).</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Решение за модела</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01–03.2027</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Модул в НП, указания, тази спецификация, списък на сертифицираните решения.</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Указания и спецификация за градините</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02–04.2027</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Проверка в 3 градини (2 частни и 1 общинска) с инсценирани сценарии; сертифициране на партньорите.</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Протоколи; списък на сертифицираните партньори</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03–05.2027</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Договори: всяка градина сключва договор 1 и договор 2 със сертифициран партньор.</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Подписани договори</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05–07.2027</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Оглед, монтаж и приемане на всеки обект с протокол.</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Протокол за приемане на всеки обект</w:t>
            </w:r>
          </w:p>
        </w:tc>
      </w:tr>
      <w:tr>
        <w:trPr>
          <w:cantSplit/>
        </w:trPr>
        <w:tc>
          <w:tcPr>
            <w:tcW w:type="dxa" w:w="1600"/>
            <w:tcMar>
              <w:top w:type="dxa" w:w="40"/>
              <w:left w:type="dxa" w:w="70"/>
              <w:bottom w:type="dxa" w:w="40"/>
              <w:right w:type="dxa" w:w="70"/>
            </w:tcMar>
            <w:vAlign w:val="top"/>
          </w:tcPr>
          <w:p>
            <w:pPr>
              <w:keepNext w:val="false"/>
              <w:keepLines/>
              <w:spacing w:after="0" w:line="240"/>
              <w:jc w:val="left"/>
            </w:pPr>
            <w:r>
              <w:rPr>
                <w:b/>
                <w:bCs/>
                <w:sz w:val="16"/>
                <w:szCs w:val="16"/>
              </w:rPr>
              <w:t xml:space="preserve">от 01.09.2027</w:t>
            </w:r>
          </w:p>
        </w:tc>
        <w:tc>
          <w:tcPr>
            <w:tcW w:type="dxa" w:w="4538"/>
            <w:tcMar>
              <w:top w:type="dxa" w:w="40"/>
              <w:left w:type="dxa" w:w="70"/>
              <w:bottom w:type="dxa" w:w="40"/>
              <w:right w:type="dxa" w:w="70"/>
            </w:tcMar>
            <w:vAlign w:val="top"/>
          </w:tcPr>
          <w:p>
            <w:pPr>
              <w:keepNext w:val="false"/>
              <w:keepLines/>
              <w:spacing w:after="0" w:line="240"/>
              <w:jc w:val="left"/>
            </w:pPr>
            <w:r>
              <w:rPr>
                <w:sz w:val="16"/>
                <w:szCs w:val="16"/>
              </w:rPr>
              <w:t xml:space="preserve">Работа във всички градини; начало на плащането за услугата за приетите обекти.</w:t>
            </w:r>
          </w:p>
        </w:tc>
        <w:tc>
          <w:tcPr>
            <w:tcW w:type="dxa" w:w="3500"/>
            <w:tcMar>
              <w:top w:type="dxa" w:w="40"/>
              <w:left w:type="dxa" w:w="70"/>
              <w:bottom w:type="dxa" w:w="40"/>
              <w:right w:type="dxa" w:w="70"/>
            </w:tcMar>
            <w:vAlign w:val="top"/>
          </w:tcPr>
          <w:p>
            <w:pPr>
              <w:keepNext w:val="false"/>
              <w:keepLines/>
              <w:spacing w:after="0" w:line="240"/>
              <w:jc w:val="left"/>
            </w:pPr>
            <w:r>
              <w:rPr>
                <w:sz w:val="16"/>
                <w:szCs w:val="16"/>
              </w:rPr>
              <w:t xml:space="preserve">Месечни отчети към общините и МОН</w:t>
            </w:r>
          </w:p>
        </w:tc>
      </w:tr>
    </w:tbl>
    <w:p>
      <w:pPr>
        <w:spacing w:after="120"/>
      </w:pPr>
    </w:p>
    <w:p>
      <w:pPr>
        <w:spacing w:after="100"/>
      </w:pPr>
      <w:r>
        <w:t xml:space="preserve">Градина, която се забави, започва по-късно, без да спира останалите. Етапите за всеки обект са: оглед и проект, доставка и монтаж, калибриране и настройка, обучение на персонала, приемане с протокол, работа.</w:t>
      </w:r>
    </w:p>
    <w:p>
      <w:pPr>
        <w:spacing w:after="100"/>
      </w:pPr>
      <w:r>
        <w:t xml:space="preserve">ОВЗД се прави преди старта. Градината е администратор, а партньорът дава техническото приложение за обекта. Ако ОВЗД покаже висок остатъчен риск, се иска предварителна консултация с КЗЛД. Тя може да отнеме до 8 седмици, с възможно удължаване с още 6. Графикът оставя време за това преди монтажа.</w:t>
      </w:r>
    </w:p>
    <w:p>
      <w:pPr>
        <w:pStyle w:val="Heading2"/>
      </w:pPr>
      <w:r>
        <w:t xml:space="preserve">9.2 Резултати за предаване на всеки обект</w:t>
      </w:r>
    </w:p>
    <w:p>
      <w:pPr>
        <w:pStyle w:val="ListParagraph"/>
        <w:numPr>
          <w:ilvl w:val="0"/>
          <w:numId w:val="2"/>
        </w:numPr>
        <w:spacing w:after="50"/>
      </w:pPr>
      <w:r>
        <w:t xml:space="preserve">Документацията от 7.3 и подписан протокол за приемане по раздел 8.</w:t>
      </w:r>
    </w:p>
    <w:p>
      <w:pPr>
        <w:pStyle w:val="ListParagraph"/>
        <w:numPr>
          <w:ilvl w:val="0"/>
          <w:numId w:val="2"/>
        </w:numPr>
        <w:spacing w:after="50"/>
      </w:pPr>
      <w:r>
        <w:t xml:space="preserve">Профили на персонала в приложението или мобилната уеб версия и достъп на директора до таблото на градината.</w:t>
      </w:r>
    </w:p>
    <w:p>
      <w:pPr>
        <w:pStyle w:val="ListParagraph"/>
        <w:numPr>
          <w:ilvl w:val="0"/>
          <w:numId w:val="2"/>
        </w:numPr>
        <w:spacing w:after="50"/>
      </w:pPr>
      <w:r>
        <w:t xml:space="preserve">Ръководства за потребителя на български: учител (дежурен), директор, ДЛЗД, координатор.</w:t>
      </w:r>
    </w:p>
    <w:p>
      <w:pPr>
        <w:pStyle w:val="ListParagraph"/>
        <w:numPr>
          <w:ilvl w:val="0"/>
          <w:numId w:val="2"/>
        </w:numPr>
        <w:spacing w:after="50"/>
      </w:pPr>
      <w:r>
        <w:t xml:space="preserve">Обучение на персонала, включително обучение по ИИ по чл. 4 от AI Act: какво засича системата, какво не засича, какво прави дежурният.</w:t>
      </w:r>
    </w:p>
    <w:p>
      <w:pPr>
        <w:pStyle w:val="Heading2"/>
      </w:pPr>
      <w:r>
        <w:t xml:space="preserve">9.3 Права върху данните и оборудването</w:t>
      </w:r>
    </w:p>
    <w:p>
      <w:pPr>
        <w:pStyle w:val="ListParagraph"/>
        <w:numPr>
          <w:ilvl w:val="0"/>
          <w:numId w:val="2"/>
        </w:numPr>
        <w:spacing w:after="50"/>
      </w:pPr>
      <w:r>
        <w:t xml:space="preserve">Данните (регистър, журнал, конфигурации) принадлежат на администратора на данните. Партньорът осигурява експорт в отворен формат.</w:t>
      </w:r>
    </w:p>
    <w:p>
      <w:pPr>
        <w:pStyle w:val="ListParagraph"/>
        <w:numPr>
          <w:ilvl w:val="0"/>
          <w:numId w:val="2"/>
        </w:numPr>
        <w:spacing w:after="50"/>
      </w:pPr>
      <w:r>
        <w:t xml:space="preserve">Оборудването, лицензите за видео сървъра и анализа и гаранциите са на името на градината.</w:t>
      </w:r>
    </w:p>
    <w:p>
      <w:pPr>
        <w:pStyle w:val="ListParagraph"/>
        <w:numPr>
          <w:ilvl w:val="0"/>
          <w:numId w:val="2"/>
        </w:numPr>
        <w:spacing w:after="50"/>
      </w:pPr>
      <w:r>
        <w:t xml:space="preserve">След края на годишния договор градината може да избере друг сертифициран партньор. Новият партньор поема обекта с документацията от 7.3 и експорта на конфигурацията.</w:t>
      </w:r>
    </w:p>
    <w:p>
      <w:pPr>
        <w:pStyle w:val="Heading2"/>
      </w:pPr>
      <w:r>
        <w:t xml:space="preserve">9.4 Годишна услуга (Перо 2)</w:t>
      </w:r>
    </w:p>
    <w:p>
      <w:pPr>
        <w:spacing w:after="100"/>
      </w:pPr>
      <w:r>
        <w:t xml:space="preserve">Годишната услуга е до </w:t>
      </w:r>
      <w:r>
        <w:rPr>
          <w:b/>
          <w:bCs/>
        </w:rPr>
        <w:t xml:space="preserve">27 € без ДДС (32,40 € с ДДС) на дете</w:t>
      </w:r>
      <w:r>
        <w:t xml:space="preserve"> годишно. Тя включва: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2600"/>
        <w:gridCol w:w="7038"/>
      </w:tblGrid>
      <w:tr>
        <w:trPr>
          <w:cantSplit/>
          <w:tblHeader/>
        </w:trPr>
        <w:tc>
          <w:tcPr>
            <w:tcW w:type="dxa" w:w="2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Компонент</w:t>
            </w:r>
          </w:p>
        </w:tc>
        <w:tc>
          <w:tcPr>
            <w:tcW w:type="dxa" w:w="70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Какво включва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Платформа KAI</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Правила и сигнали, ескалация, SMS и гласови обаждания, регистър, табла на градината, общината и МОН, приложение или мобилна уеб версия за персонала, журнал (раздели 4 и 5).</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Мониторинг и поддръжка</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Наблюдение 24/7 на платформата, връзката и устройствата; ежедневна автоматична проверка; технически сигнали и заявки.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Обслужване от сертифициран партньор</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Първа линия за градината: приемане на заявки, посещение на място по SLA (9.5), донастройка на правилата, обучение на нов персонал.</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Отчети и интеграции</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Месечни отчети към общината и МОН; интеграция с електронните дневници (НП „ИКТ“, изискване 7, API) и с НЕИСПУО.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Обновяване и сигурност</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Обновяване на платформата, на приложението и на софтуера в обекта; управление на уязвимостите; резервни копия.</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Годишен независим одит</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Одит на сигурността на платформата и на извадка от обектите; резюме към МОН.</w:t>
            </w:r>
          </w:p>
        </w:tc>
      </w:tr>
    </w:tbl>
    <w:p>
      <w:pPr>
        <w:spacing w:after="120"/>
      </w:pPr>
    </w:p>
    <w:p>
      <w:pPr>
        <w:pStyle w:val="ListParagraph"/>
        <w:numPr>
          <w:ilvl w:val="0"/>
          <w:numId w:val="2"/>
        </w:numPr>
        <w:spacing w:after="50"/>
      </w:pPr>
      <w:r>
        <w:t xml:space="preserve">Плащането е по броя на децата в НЕИСПУО към определена дата (напр. 1 октомври).</w:t>
      </w:r>
    </w:p>
    <w:p>
      <w:pPr>
        <w:pStyle w:val="ListParagraph"/>
        <w:numPr>
          <w:ilvl w:val="0"/>
          <w:numId w:val="2"/>
        </w:numPr>
        <w:spacing w:after="50"/>
      </w:pPr>
      <w:r>
        <w:t xml:space="preserve">Договорът за услугата се подписва всяка година.</w:t>
      </w:r>
    </w:p>
    <w:p>
      <w:pPr>
        <w:pStyle w:val="ListParagraph"/>
        <w:numPr>
          <w:ilvl w:val="0"/>
          <w:numId w:val="2"/>
        </w:numPr>
        <w:spacing w:after="50"/>
      </w:pPr>
      <w:r>
        <w:t xml:space="preserve">Плащането започва след протокола за приемане на обекта.</w:t>
      </w:r>
    </w:p>
    <w:p>
      <w:pPr>
        <w:pStyle w:val="ListParagraph"/>
        <w:numPr>
          <w:ilvl w:val="0"/>
          <w:numId w:val="2"/>
        </w:numPr>
        <w:spacing w:after="50"/>
      </w:pPr>
      <w:r>
        <w:t xml:space="preserve">Ремонтът, подмяната на оборудването и свързаността за 5 години са в Перо 1 (поз. 1.14 до 1.16). Перо 2 не ги плаща отново.</w:t>
      </w:r>
    </w:p>
    <w:p>
      <w:pPr>
        <w:pStyle w:val="Heading2"/>
      </w:pPr>
      <w:r>
        <w:t xml:space="preserve">9.5 Поддръжка и SLA</w:t>
      </w:r>
    </w:p>
    <w:p>
      <w:pPr>
        <w:spacing w:after="100"/>
      </w:pPr>
      <w:r>
        <w:t xml:space="preserve">Партньорът посочва сроковете за отстраняване. Поддръжката включва ежедневна автоматична проверка, оглед на място при нужда, обновявания на сигурността, донастройка на правилата и тест на възстановяване веднъж на тримесечие. Минимални нива на обслужване: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800"/>
        <w:gridCol w:w="4238"/>
        <w:gridCol w:w="1600"/>
        <w:gridCol w:w="2000"/>
      </w:tblGrid>
      <w:tr>
        <w:trPr>
          <w:cantSplit/>
          <w:tblHeader/>
        </w:trPr>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Приоритет</w:t>
            </w:r>
          </w:p>
        </w:tc>
        <w:tc>
          <w:tcPr>
            <w:tcW w:type="dxa" w:w="4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Пример</w:t>
            </w:r>
          </w:p>
        </w:tc>
        <w:tc>
          <w:tcPr>
            <w:tcW w:type="dxa" w:w="1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Реакция</w:t>
            </w:r>
          </w:p>
        </w:tc>
        <w:tc>
          <w:tcPr>
            <w:tcW w:type="dxa" w:w="20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Отстраняване</w:t>
            </w:r>
          </w:p>
        </w:tc>
      </w:tr>
      <w:tr>
        <w:trPr>
          <w:cantSplit/>
        </w:trPr>
        <w:tc>
          <w:tcPr>
            <w:tcW w:type="dxa" w:w="1800"/>
            <w:tcMar>
              <w:top w:type="dxa" w:w="40"/>
              <w:left w:type="dxa" w:w="70"/>
              <w:bottom w:type="dxa" w:w="40"/>
              <w:right w:type="dxa" w:w="70"/>
            </w:tcMar>
            <w:vAlign w:val="top"/>
          </w:tcPr>
          <w:p>
            <w:pPr>
              <w:keepNext w:val="false"/>
              <w:keepLines/>
              <w:spacing w:after="0" w:line="240"/>
              <w:jc w:val="left"/>
            </w:pPr>
            <w:r>
              <w:rPr>
                <w:b/>
                <w:bCs/>
                <w:sz w:val="16"/>
                <w:szCs w:val="16"/>
              </w:rPr>
              <w:t xml:space="preserve">Висок (авария)</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камера на порта без връзка, спрян сървър, прекъсната връзка на обекта, сигналите не стигат</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4 ч</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партньорът предлага</w:t>
            </w:r>
          </w:p>
        </w:tc>
      </w:tr>
      <w:tr>
        <w:trPr>
          <w:cantSplit/>
        </w:trPr>
        <w:tc>
          <w:tcPr>
            <w:tcW w:type="dxa" w:w="1800"/>
            <w:tcMar>
              <w:top w:type="dxa" w:w="40"/>
              <w:left w:type="dxa" w:w="70"/>
              <w:bottom w:type="dxa" w:w="40"/>
              <w:right w:type="dxa" w:w="70"/>
            </w:tcMar>
            <w:vAlign w:val="top"/>
          </w:tcPr>
          <w:p>
            <w:pPr>
              <w:keepNext w:val="false"/>
              <w:keepLines/>
              <w:spacing w:after="0" w:line="240"/>
              <w:jc w:val="left"/>
            </w:pPr>
            <w:r>
              <w:rPr>
                <w:b/>
                <w:bCs/>
                <w:sz w:val="16"/>
                <w:szCs w:val="16"/>
              </w:rPr>
              <w:t xml:space="preserve">Нормален</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фалшиви сигнали от една линия, ново калибриране</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10 работни дни</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партньорът предлага</w:t>
            </w:r>
          </w:p>
        </w:tc>
      </w:tr>
      <w:tr>
        <w:trPr>
          <w:cantSplit/>
        </w:trPr>
        <w:tc>
          <w:tcPr>
            <w:tcW w:type="dxa" w:w="1800"/>
            <w:tcMar>
              <w:top w:type="dxa" w:w="40"/>
              <w:left w:type="dxa" w:w="70"/>
              <w:bottom w:type="dxa" w:w="40"/>
              <w:right w:type="dxa" w:w="70"/>
            </w:tcMar>
            <w:vAlign w:val="top"/>
          </w:tcPr>
          <w:p>
            <w:pPr>
              <w:keepNext w:val="false"/>
              <w:keepLines/>
              <w:spacing w:after="0" w:line="240"/>
              <w:jc w:val="left"/>
            </w:pPr>
            <w:r>
              <w:rPr>
                <w:b/>
                <w:bCs/>
                <w:sz w:val="16"/>
                <w:szCs w:val="16"/>
              </w:rPr>
              <w:t xml:space="preserve">Нисък</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диск над 85%, промяна на настройка</w:t>
            </w:r>
          </w:p>
        </w:tc>
        <w:tc>
          <w:tcPr>
            <w:tcW w:type="dxa" w:w="1600"/>
            <w:tcMar>
              <w:top w:type="dxa" w:w="40"/>
              <w:left w:type="dxa" w:w="70"/>
              <w:bottom w:type="dxa" w:w="40"/>
              <w:right w:type="dxa" w:w="70"/>
            </w:tcMar>
            <w:vAlign w:val="top"/>
          </w:tcPr>
          <w:p>
            <w:pPr>
              <w:keepNext w:val="false"/>
              <w:keepLines/>
              <w:spacing w:after="0" w:line="240"/>
              <w:jc w:val="left"/>
            </w:pPr>
            <w:r>
              <w:rPr>
                <w:sz w:val="16"/>
                <w:szCs w:val="16"/>
              </w:rPr>
              <w:t xml:space="preserve">5 работни дни</w:t>
            </w:r>
          </w:p>
        </w:tc>
        <w:tc>
          <w:tcPr>
            <w:tcW w:type="dxa" w:w="2000"/>
            <w:tcMar>
              <w:top w:type="dxa" w:w="40"/>
              <w:left w:type="dxa" w:w="70"/>
              <w:bottom w:type="dxa" w:w="40"/>
              <w:right w:type="dxa" w:w="70"/>
            </w:tcMar>
            <w:vAlign w:val="top"/>
          </w:tcPr>
          <w:p>
            <w:pPr>
              <w:keepNext w:val="false"/>
              <w:keepLines/>
              <w:spacing w:after="0" w:line="240"/>
              <w:jc w:val="left"/>
            </w:pPr>
            <w:r>
              <w:rPr>
                <w:sz w:val="16"/>
                <w:szCs w:val="16"/>
              </w:rPr>
              <w:t xml:space="preserve">партньорът предлага</w:t>
            </w:r>
          </w:p>
        </w:tc>
      </w:tr>
    </w:tbl>
    <w:p>
      <w:pPr>
        <w:spacing w:after="120"/>
      </w:pPr>
    </w:p>
    <w:p>
      <w:pPr>
        <w:pStyle w:val="Heading1"/>
      </w:pPr>
      <w:r>
        <w:t xml:space="preserve">10. Правна рамка и задължения на партньора</w:t>
      </w:r>
    </w:p>
    <w:p>
      <w:pPr>
        <w:pBdr>
          <w:left w:val="single" w:color="1E5F57" w:sz="18" w:space="6"/>
        </w:pBdr>
        <w:shd w:fill="E6F0EE" w:color="auto" w:val="clear"/>
        <w:spacing w:after="120" w:before="60"/>
        <w:ind w:left="120" w:right="120"/>
      </w:pPr>
      <w:r>
        <w:rPr>
          <w:color w:val="3A4A47"/>
          <w:sz w:val="18"/>
          <w:szCs w:val="18"/>
        </w:rPr>
        <w:t xml:space="preserve">Разделът описва изискванията, които произтичат от правната рамка за партньора. Той не е правно становище. Датите и тълкуванията, особено по AI Act и ЗОП, се проверяват с юрист преди старта.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2100"/>
        <w:gridCol w:w="3738"/>
        <w:gridCol w:w="3800"/>
      </w:tblGrid>
      <w:tr>
        <w:trPr>
          <w:cantSplit/>
          <w:tblHeader/>
        </w:trPr>
        <w:tc>
          <w:tcPr>
            <w:tcW w:type="dxa" w:w="21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Рамка</w:t>
            </w:r>
          </w:p>
        </w:tc>
        <w:tc>
          <w:tcPr>
            <w:tcW w:type="dxa" w:w="37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Какво значи</w:t>
            </w:r>
          </w:p>
        </w:tc>
        <w:tc>
          <w:tcPr>
            <w:tcW w:type="dxa" w:w="3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Задължение на партньора</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ЗОП</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Двата договора на градината са под прага за директно възлагане (около 35 800 €, да се потвърди от юрист). Няма процедура по ЗОП и няма рамково споразумение.</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Оферира в рамките на максималните бюджети: до 22 400 € на обект и до 27 € на дете годишно, без ДДС.</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28</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Градината е администратор. Партньорът е обработващ. KAI е подизпълнител за платформата.</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Подписва договор за обработване. Подизпълнителите с достъп до системата се посочват. Няма достъп до видео по подразбиране.</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35 и 36</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ОВЗД е задължителна: деца, систематично наблюдение, нова технология. При висок остатъчен риск има предварителна консултация с КЗЛД.</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Предоставя техническото приложение към ОВЗД за всеки обект и съдейства при консултацията с КЗЛД.</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5 и 32</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Минимални данни, срокове за съхранение, подходящи мерки за сигурност.</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Изпълнява NFR за сигурност и защита на данните. Видеото остава в градината.</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ДАЗД</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Без видеонаблюдение в групите, спалните, санитарните помещения и помещенията за лична хигиена. Достъп до видеото само за лица, определени от директора.</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Спазва MNT-04 и ролите от раздел 3.</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AI Act (Регламент (ЕС) 2024/1689)</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Разпознаването на емоции в образователни институции е забранено (чл. 5(1)(f)). Оценката на възраст е биометрична категоризация. Персоналът трябва да има грамотност в областта на ИИ (чл. 4).</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Не доставя и не включва функции за лице, възраст, емоции и поведение. Системата работи само с ръст в метри. Провежда обучението по чл. 4.</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Кодекс на труда</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Камерите снимат и служителите. Те трябва да са информирани.</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Системата не оценява работата на персонала. Показателите са по градина, без класиране на служители.</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Закон за частната охранителна дейност</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Следенето на сигнали и реакцията на тях от външна организация е охранителна дейност с лиценз.</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Сигналите отиват само при персонала на градината. Партньорът поддържа системата и не реагира на сигнали.</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CRA и NIS2</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Управление на уязвимостите през жизнения цикъл.</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Изпълнява NFR за уязвимостите и плана за реакция при инцидент.</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35 и местоположение (О8, О9)</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Систематичното наблюдение на местоположението на деца трябва да е изрично описано в ОВЗД. Метките са по желание на родителите. Метката е ключ за безопасно излизане през портата, не проследяващо устройство: само двор и порти, зони вместо точки, памет до 60 мин, без GPS и без история за дни.</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Предоставя за ОВЗД описание на данните от метките, сроковете и мерките. Изпълнява FR-62 до FR-83 и NFR-25 до NFR-34. Не добавя анализ на движението на децата и оценка на учителите.</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9 и метките</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Метката излъчва само криптиран сменящ се идентификатор. Тя не мери физически белези на детето и не е биометрия.</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Не свързва данните от метките с лице, глас или други биометрични данни.</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Предаване и вземане на детето</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Учителят остава отговорен за предаването на детето на родителя или на упълномощеното лице.</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Системата подсказва и записва. Тя не предава детето сама и не заменя потвърждението на учителя (FR-77).</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НП „ИКТ“ 2026 на МОН, Приложение 1, изискване 7</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Допуска интеграция на електронния дневник със „системи за достъп“.</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Праща известията (FR-58) и при О8 присъствията (FR-69) към дневника през неговия API.</w:t>
            </w:r>
          </w:p>
        </w:tc>
      </w:tr>
      <w:tr>
        <w:trPr>
          <w:cantSplit/>
        </w:trPr>
        <w:tc>
          <w:tcPr>
            <w:tcW w:type="dxa" w:w="2100"/>
            <w:tcMar>
              <w:top w:type="dxa" w:w="40"/>
              <w:left w:type="dxa" w:w="70"/>
              <w:bottom w:type="dxa" w:w="40"/>
              <w:right w:type="dxa" w:w="70"/>
            </w:tcMar>
            <w:vAlign w:val="top"/>
          </w:tcPr>
          <w:p>
            <w:pPr>
              <w:keepNext w:val="false"/>
              <w:keepLines/>
              <w:spacing w:after="0" w:line="240"/>
              <w:jc w:val="left"/>
            </w:pPr>
            <w:r>
              <w:rPr>
                <w:b/>
                <w:bCs/>
                <w:sz w:val="16"/>
                <w:szCs w:val="16"/>
              </w:rPr>
              <w:t xml:space="preserve">GDPR, чл. 9 и лицево разпознаване</w:t>
            </w:r>
          </w:p>
        </w:tc>
        <w:tc>
          <w:tcPr>
            <w:tcW w:type="dxa" w:w="3738"/>
            <w:tcMar>
              <w:top w:type="dxa" w:w="40"/>
              <w:left w:type="dxa" w:w="70"/>
              <w:bottom w:type="dxa" w:w="40"/>
              <w:right w:type="dxa" w:w="70"/>
            </w:tcMar>
            <w:vAlign w:val="top"/>
          </w:tcPr>
          <w:p>
            <w:pPr>
              <w:keepNext w:val="false"/>
              <w:keepLines/>
              <w:spacing w:after="0" w:line="240"/>
              <w:jc w:val="left"/>
            </w:pPr>
            <w:r>
              <w:rPr>
                <w:sz w:val="16"/>
                <w:szCs w:val="16"/>
              </w:rPr>
              <w:t xml:space="preserve">Лицевите шаблони са биометрични данни. Обработването им е забранено освен по изключенията на чл. 9(2). Съгласието на родители и служители трудно е свободно, защото те зависят от градината.</w:t>
            </w:r>
          </w:p>
        </w:tc>
        <w:tc>
          <w:tcPr>
            <w:tcW w:type="dxa" w:w="3800"/>
            <w:tcMar>
              <w:top w:type="dxa" w:w="40"/>
              <w:left w:type="dxa" w:w="70"/>
              <w:bottom w:type="dxa" w:w="40"/>
              <w:right w:type="dxa" w:w="70"/>
            </w:tcMar>
            <w:vAlign w:val="top"/>
          </w:tcPr>
          <w:p>
            <w:pPr>
              <w:keepNext w:val="false"/>
              <w:keepLines/>
              <w:spacing w:after="0" w:line="240"/>
              <w:jc w:val="left"/>
            </w:pPr>
            <w:r>
              <w:rPr>
                <w:sz w:val="16"/>
                <w:szCs w:val="16"/>
              </w:rPr>
              <w:t xml:space="preserve">Не предлага и не включва лицево разпознаване на деца, родители и персонал за присъствия, достъп или вземане, включително като опция. Функциите за лице в купените продукти са изключени и това е документирано.</w:t>
            </w:r>
          </w:p>
        </w:tc>
      </w:tr>
    </w:tbl>
    <w:p>
      <w:pPr>
        <w:spacing w:after="120"/>
      </w:pPr>
    </w:p>
    <w:p>
      <w:pPr>
        <w:keepNext/>
        <w:pBdr>
          <w:left w:val="single" w:color="1E5F57" w:sz="18" w:space="6"/>
        </w:pBdr>
        <w:shd w:fill="E6F0EE" w:color="auto" w:val="clear"/>
        <w:spacing w:after="120" w:before="60"/>
        <w:ind w:left="120" w:right="120"/>
      </w:pPr>
      <w:r>
        <w:rPr>
          <w:b/>
          <w:bCs/>
          <w:color w:val="3A4A47"/>
          <w:sz w:val="18"/>
          <w:szCs w:val="18"/>
        </w:rPr>
        <w:t xml:space="preserve">Два реални случая.</w:t>
      </w:r>
      <w:r>
        <w:rPr>
          <w:color w:val="3A4A47"/>
          <w:sz w:val="18"/>
          <w:szCs w:val="18"/>
        </w:rPr>
        <w:t xml:space="preserve"> Шведският надзорен орган (Datainspektionen) глоби през август 2019 г. училищното настоятелство на община Шелефтео с 200 000 SEK (около 20 000 €) за пробни присъствия с лицево разпознаване на 22 ученици. Причините: незаконно обработване на биометрични данни, недостатъчна ОВЗД, липса на предварителна консултация и невалидно съгласие заради зависимостта на учениците [1]. Френският CNIL на 29.10.2019 г. обяви експеримента с лицево разпознаване на входа на два лицея в Ница и Марсилия за ненеобходим и непропорционален [2].</w:t>
      </w:r>
    </w:p>
    <w:p>
      <w:pPr>
        <w:keepNext/>
        <w:spacing w:after="40" w:before="60"/>
      </w:pPr>
      <w:r>
        <w:rPr>
          <w:b/>
          <w:bCs/>
          <w:color w:val="3A4A47"/>
          <w:sz w:val="18"/>
          <w:szCs w:val="18"/>
        </w:rPr>
        <w:t xml:space="preserve">Източници</w:t>
      </w:r>
    </w:p>
    <w:p>
      <w:pPr>
        <w:keepNext/>
        <w:spacing w:after="40"/>
      </w:pPr>
      <w:r>
        <w:rPr>
          <w:color w:val="3A4A47"/>
          <w:sz w:val="18"/>
          <w:szCs w:val="18"/>
        </w:rPr>
        <w:t xml:space="preserve">[1] </w:t>
      </w:r>
      <w:hyperlink w:history="1" r:id="rIdofcptzbx4pkyheegfms_b">
        <w:r>
          <w:rPr>
            <w:color w:val="1E5F57"/>
            <w:sz w:val="18"/>
            <w:szCs w:val="18"/>
            <w:u w:val="single"/>
          </w:rPr>
          <w:t xml:space="preserve">https://www.biometricupdate.com/201908/swedish-data-protection-authority-issues-first-fine-for-biometrics-use-under-gdpr</w:t>
        </w:r>
      </w:hyperlink>
    </w:p>
    <w:p>
      <w:pPr>
        <w:keepNext w:val="false"/>
        <w:spacing w:after="40"/>
      </w:pPr>
      <w:r>
        <w:rPr>
          <w:color w:val="3A4A47"/>
          <w:sz w:val="18"/>
          <w:szCs w:val="18"/>
        </w:rPr>
        <w:t xml:space="preserve">[2] </w:t>
      </w:r>
      <w:hyperlink w:history="1" r:id="rId4erpopbrqiedy7ltpwd7g">
        <w:r>
          <w:rPr>
            <w:color w:val="1E5F57"/>
            <w:sz w:val="18"/>
            <w:szCs w:val="18"/>
            <w:u w:val="single"/>
          </w:rPr>
          <w:t xml:space="preserve">https://www.cnil.fr/fr/experimentation-de-la-reconnaissance-faciale-dans-deux-lycees-la-cnil-precise-sa-position</w:t>
        </w:r>
      </w:hyperlink>
    </w:p>
    <w:p>
      <w:pPr>
        <w:pStyle w:val="Heading1"/>
      </w:pPr>
      <w:r>
        <w:t xml:space="preserve">11. Оферта на партньора и ценови таблици</w:t>
      </w:r>
    </w:p>
    <w:p>
      <w:pPr>
        <w:pStyle w:val="Heading2"/>
      </w:pPr>
      <w:r>
        <w:t xml:space="preserve">11.1 Съдържание на офертата</w:t>
      </w:r>
    </w:p>
    <w:p>
      <w:pPr>
        <w:pStyle w:val="ListParagraph"/>
        <w:numPr>
          <w:ilvl w:val="0"/>
          <w:numId w:val="3"/>
        </w:numPr>
        <w:spacing w:after="50"/>
      </w:pPr>
      <w:r>
        <w:t xml:space="preserve">Техническо предложение по разделите 4 до 9, с таблица на съответствието за всички FR и NFR.</w:t>
      </w:r>
    </w:p>
    <w:p>
      <w:pPr>
        <w:pStyle w:val="ListParagraph"/>
        <w:numPr>
          <w:ilvl w:val="0"/>
          <w:numId w:val="3"/>
        </w:numPr>
        <w:spacing w:after="50"/>
      </w:pPr>
      <w:r>
        <w:t xml:space="preserve">Предлагани продукти с марка и модел и доказателства за еквивалентност (6.3).</w:t>
      </w:r>
    </w:p>
    <w:p>
      <w:pPr>
        <w:pStyle w:val="ListParagraph"/>
        <w:numPr>
          <w:ilvl w:val="0"/>
          <w:numId w:val="3"/>
        </w:numPr>
        <w:spacing w:after="50"/>
      </w:pPr>
      <w:r>
        <w:t xml:space="preserve">Документ за сертификация от KAI и документ за партньорство с производителя на видео сървъра (раздел 12).</w:t>
      </w:r>
    </w:p>
    <w:p>
      <w:pPr>
        <w:pStyle w:val="ListParagraph"/>
        <w:numPr>
          <w:ilvl w:val="0"/>
          <w:numId w:val="3"/>
        </w:numPr>
        <w:spacing w:after="50"/>
      </w:pPr>
      <w:r>
        <w:t xml:space="preserve">Срок за оглед, монтаж и приемане на обекта в рамките на графика от 9.1.</w:t>
      </w:r>
    </w:p>
    <w:p>
      <w:pPr>
        <w:pStyle w:val="ListParagraph"/>
        <w:numPr>
          <w:ilvl w:val="0"/>
          <w:numId w:val="3"/>
        </w:numPr>
        <w:spacing w:after="50"/>
      </w:pPr>
      <w:r>
        <w:t xml:space="preserve">Попълнените ценови таблици от 11.2.</w:t>
      </w:r>
    </w:p>
    <w:p>
      <w:pPr>
        <w:pStyle w:val="ListParagraph"/>
        <w:numPr>
          <w:ilvl w:val="0"/>
          <w:numId w:val="3"/>
        </w:numPr>
        <w:spacing w:after="50"/>
      </w:pPr>
      <w:r>
        <w:t xml:space="preserve">Проект на договор 1 (пакет за обекта), договор 2 (годишна услуга), договор за обработване на данни и SLA.</w:t>
      </w:r>
    </w:p>
    <w:p>
      <w:pPr>
        <w:spacing w:after="100"/>
      </w:pPr>
      <w:r>
        <w:rPr>
          <w:b/>
          <w:bCs/>
        </w:rPr>
        <w:t xml:space="preserve">Формат.</w:t>
      </w:r>
      <w:r>
        <w:t xml:space="preserve"> Офертата е на български език. Цените са в евро без ДДС и с ДДС. Ценовите таблици се подават и в редактируем формат. Срок на валидност: [попълва се].</w:t>
      </w:r>
    </w:p>
    <w:p>
      <w:pPr>
        <w:pStyle w:val="Heading2"/>
      </w:pPr>
      <w:r>
        <w:t xml:space="preserve">11.2 Ценови таблици</w:t>
      </w:r>
    </w:p>
    <w:p>
      <w:pPr>
        <w:spacing w:after="100"/>
      </w:pPr>
      <w:r>
        <w:t xml:space="preserve">Партньорът попълва празните клетки. Цените са в евро. Сумите не може да надхвърлят максималните бюджети. Количествата са минималните. Допълнителни позиции се добавят в отделни редове.</w:t>
      </w:r>
    </w:p>
    <w:p>
      <w:pPr>
        <w:keepNext/>
        <w:spacing w:after="60" w:before="80"/>
      </w:pPr>
      <w:r>
        <w:rPr>
          <w:b/>
          <w:bCs/>
          <w:color w:val="1E5F57"/>
        </w:rPr>
        <w:t xml:space="preserve">Таблица 1. Перо 1 · Пакет за обекта (еднократно, на обект)</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700"/>
        <w:gridCol w:w="4838"/>
        <w:gridCol w:w="1500"/>
        <w:gridCol w:w="800"/>
        <w:gridCol w:w="1800"/>
      </w:tblGrid>
      <w:tr>
        <w:trPr>
          <w:cantSplit/>
          <w:tblHeader/>
        </w:trPr>
        <w:tc>
          <w:tcPr>
            <w:tcW w:type="dxa" w:w="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w:t>
            </w:r>
          </w:p>
        </w:tc>
        <w:tc>
          <w:tcPr>
            <w:tcW w:type="dxa" w:w="48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Позиция (марка и модел)</w:t>
            </w:r>
          </w:p>
        </w:tc>
        <w:tc>
          <w:tcPr>
            <w:tcW w:type="dxa" w:w="1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Ед. цена</w:t>
            </w:r>
          </w:p>
        </w:tc>
        <w:tc>
          <w:tcPr>
            <w:tcW w:type="dxa" w:w="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Бр.</w:t>
            </w:r>
          </w:p>
        </w:tc>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Общо</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Камера за порта с калибриран анализ на височината</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1.2</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Камера за двора и оградата</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4</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1.3</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Лицензи за управление на видеото</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6</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1.4</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Лицензи за анализ на сървъра</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4</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1.5</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Локален сървър за запис и анализ, 8 TB</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1.6</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Управляем PoE комутатор</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1.7</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Рутер със защитна стена, 2 SIM слота</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1.8</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UPS</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1.9</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Сензор за порта с монтаж</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1.10</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Сигнал на място: светлина и звук</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2</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1.11</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Монтаж, окабеляване, шкаф</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1.12</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Въвеждане в експлоатация, калибриране, обучение</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1.13</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Приложение към ОВЗД, табели, информация</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1.14</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Техническа поддръжка, 5 години</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1.15</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Гаранция и резервни части, 5 години</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1.16</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Свързаност, 2 SIM карти от двама оператори, 5 години</w:t>
            </w:r>
          </w:p>
        </w:tc>
        <w:tc>
          <w:tcPr>
            <w:tcW w:type="dxa" w:w="1500"/>
            <w:tcMar>
              <w:top w:type="dxa" w:w="40"/>
              <w:left w:type="dxa" w:w="70"/>
              <w:bottom w:type="dxa" w:w="40"/>
              <w:right w:type="dxa" w:w="70"/>
            </w:tcMar>
            <w:vAlign w:val="top"/>
          </w:tcPr>
          <w:p>
            <w:pPr>
              <w:keepNext w:val="false"/>
              <w:keepLines/>
              <w:spacing w:after="0" w:line="240"/>
              <w:jc w:val="left"/>
            </w:pPr>
          </w:p>
        </w:tc>
        <w:tc>
          <w:tcPr>
            <w:tcW w:type="dxa" w:w="800"/>
            <w:tcMar>
              <w:top w:type="dxa" w:w="40"/>
              <w:left w:type="dxa" w:w="70"/>
              <w:bottom w:type="dxa" w:w="40"/>
              <w:right w:type="dxa" w:w="70"/>
            </w:tcMar>
            <w:vAlign w:val="top"/>
          </w:tcPr>
          <w:p>
            <w:pPr>
              <w:keepNext w:val="false"/>
              <w:keepLines/>
              <w:spacing w:after="0" w:line="240"/>
              <w:jc w:val="center"/>
            </w:pPr>
            <w:r>
              <w:rPr>
                <w:sz w:val="16"/>
                <w:szCs w:val="16"/>
              </w:rPr>
              <w:t xml:space="preserve">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4838"/>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без ДДС (не повече от 22 400 €)</w:t>
            </w:r>
          </w:p>
        </w:tc>
        <w:tc>
          <w:tcPr>
            <w:tcW w:type="dxa" w:w="1500"/>
            <w:shd w:fill="F3F5F4" w:color="auto" w:val="clear"/>
            <w:tcMar>
              <w:top w:type="dxa" w:w="40"/>
              <w:left w:type="dxa" w:w="70"/>
              <w:bottom w:type="dxa" w:w="40"/>
              <w:right w:type="dxa" w:w="70"/>
            </w:tcMar>
            <w:vAlign w:val="top"/>
          </w:tcPr>
          <w:p>
            <w:pPr>
              <w:keepNext w:val="false"/>
              <w:keepLines/>
              <w:spacing w:after="0" w:line="240"/>
              <w:jc w:val="left"/>
            </w:pPr>
          </w:p>
        </w:tc>
        <w:tc>
          <w:tcPr>
            <w:tcW w:type="dxa" w:w="800"/>
            <w:shd w:fill="F3F5F4" w:color="auto" w:val="clear"/>
            <w:tcMar>
              <w:top w:type="dxa" w:w="40"/>
              <w:left w:type="dxa" w:w="70"/>
              <w:bottom w:type="dxa" w:w="40"/>
              <w:right w:type="dxa" w:w="70"/>
            </w:tcMar>
            <w:vAlign w:val="top"/>
          </w:tcPr>
          <w:p>
            <w:pPr>
              <w:keepNext w:val="false"/>
              <w:keepLines/>
              <w:spacing w:after="0" w:line="240"/>
              <w:jc w:val="center"/>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4838"/>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ДДС 20%</w:t>
            </w:r>
          </w:p>
        </w:tc>
        <w:tc>
          <w:tcPr>
            <w:tcW w:type="dxa" w:w="1500"/>
            <w:shd w:fill="F3F5F4" w:color="auto" w:val="clear"/>
            <w:tcMar>
              <w:top w:type="dxa" w:w="40"/>
              <w:left w:type="dxa" w:w="70"/>
              <w:bottom w:type="dxa" w:w="40"/>
              <w:right w:type="dxa" w:w="70"/>
            </w:tcMar>
            <w:vAlign w:val="top"/>
          </w:tcPr>
          <w:p>
            <w:pPr>
              <w:keepNext w:val="false"/>
              <w:keepLines/>
              <w:spacing w:after="0" w:line="240"/>
              <w:jc w:val="left"/>
            </w:pPr>
          </w:p>
        </w:tc>
        <w:tc>
          <w:tcPr>
            <w:tcW w:type="dxa" w:w="800"/>
            <w:shd w:fill="F3F5F4" w:color="auto" w:val="clear"/>
            <w:tcMar>
              <w:top w:type="dxa" w:w="40"/>
              <w:left w:type="dxa" w:w="70"/>
              <w:bottom w:type="dxa" w:w="40"/>
              <w:right w:type="dxa" w:w="70"/>
            </w:tcMar>
            <w:vAlign w:val="top"/>
          </w:tcPr>
          <w:p>
            <w:pPr>
              <w:keepNext w:val="false"/>
              <w:keepLines/>
              <w:spacing w:after="0" w:line="240"/>
              <w:jc w:val="center"/>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4838"/>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с ДДС (не повече от 26 880 €)</w:t>
            </w:r>
          </w:p>
        </w:tc>
        <w:tc>
          <w:tcPr>
            <w:tcW w:type="dxa" w:w="1500"/>
            <w:shd w:fill="F3F5F4" w:color="auto" w:val="clear"/>
            <w:tcMar>
              <w:top w:type="dxa" w:w="40"/>
              <w:left w:type="dxa" w:w="70"/>
              <w:bottom w:type="dxa" w:w="40"/>
              <w:right w:type="dxa" w:w="70"/>
            </w:tcMar>
            <w:vAlign w:val="top"/>
          </w:tcPr>
          <w:p>
            <w:pPr>
              <w:keepNext w:val="false"/>
              <w:keepLines/>
              <w:spacing w:after="0" w:line="240"/>
              <w:jc w:val="left"/>
            </w:pPr>
          </w:p>
        </w:tc>
        <w:tc>
          <w:tcPr>
            <w:tcW w:type="dxa" w:w="800"/>
            <w:shd w:fill="F3F5F4" w:color="auto" w:val="clear"/>
            <w:tcMar>
              <w:top w:type="dxa" w:w="40"/>
              <w:left w:type="dxa" w:w="70"/>
              <w:bottom w:type="dxa" w:w="40"/>
              <w:right w:type="dxa" w:w="70"/>
            </w:tcMar>
            <w:vAlign w:val="top"/>
          </w:tcPr>
          <w:p>
            <w:pPr>
              <w:keepNext w:val="false"/>
              <w:keepLines/>
              <w:spacing w:after="0" w:line="240"/>
              <w:jc w:val="center"/>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bl>
    <w:p>
      <w:pPr>
        <w:spacing w:after="120"/>
      </w:pPr>
    </w:p>
    <w:p>
      <w:pPr>
        <w:keepNext/>
        <w:spacing w:after="60" w:before="80"/>
      </w:pPr>
      <w:r>
        <w:rPr>
          <w:b/>
          <w:bCs/>
          <w:color w:val="1E5F57"/>
        </w:rPr>
        <w:t xml:space="preserve">Таблица 2. Перо 2 · Годишна услуга (на дете, годишно)</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700"/>
        <w:gridCol w:w="2900"/>
        <w:gridCol w:w="4238"/>
        <w:gridCol w:w="1800"/>
      </w:tblGrid>
      <w:tr>
        <w:trPr>
          <w:cantSplit/>
          <w:tblHeader/>
        </w:trPr>
        <w:tc>
          <w:tcPr>
            <w:tcW w:type="dxa" w:w="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w:t>
            </w:r>
          </w:p>
        </w:tc>
        <w:tc>
          <w:tcPr>
            <w:tcW w:type="dxa" w:w="2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Компонент</w:t>
            </w:r>
          </w:p>
        </w:tc>
        <w:tc>
          <w:tcPr>
            <w:tcW w:type="dxa" w:w="4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Какво включва</w:t>
            </w:r>
          </w:p>
        </w:tc>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 на дете годишно</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2.1</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Платформа KAI, правила и сигнали</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ядро, ескалация, SMS и обаждания, регистър, табла, приложение за персонала (4.1 до 4.10)</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2.2</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Мониторинг и поддръжка</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наблюдение 24/7, ежедневна проверка, технически сигнали</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2.3</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Обслужване от сертифициран партньор</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първа линия, посещения по SLA, донастройка, обучение на нов персонал</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2.4</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Отчети и интеграции</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отчети към общината и МОН; електронни дневници и НЕИСПУО (4.11)</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2.5</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Обновяване и сигурност</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обновявания, уязвимости, резервни копия</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2.6</w:t>
            </w:r>
          </w:p>
        </w:tc>
        <w:tc>
          <w:tcPr>
            <w:tcW w:type="dxa" w:w="2900"/>
            <w:tcMar>
              <w:top w:type="dxa" w:w="40"/>
              <w:left w:type="dxa" w:w="70"/>
              <w:bottom w:type="dxa" w:w="40"/>
              <w:right w:type="dxa" w:w="70"/>
            </w:tcMar>
            <w:vAlign w:val="top"/>
          </w:tcPr>
          <w:p>
            <w:pPr>
              <w:keepNext w:val="false"/>
              <w:keepLines/>
              <w:spacing w:after="0" w:line="240"/>
              <w:jc w:val="left"/>
            </w:pPr>
            <w:r>
              <w:rPr>
                <w:sz w:val="16"/>
                <w:szCs w:val="16"/>
              </w:rPr>
              <w:t xml:space="preserve">Годишен независим одит</w:t>
            </w:r>
          </w:p>
        </w:tc>
        <w:tc>
          <w:tcPr>
            <w:tcW w:type="dxa" w:w="4238"/>
            <w:tcMar>
              <w:top w:type="dxa" w:w="40"/>
              <w:left w:type="dxa" w:w="70"/>
              <w:bottom w:type="dxa" w:w="40"/>
              <w:right w:type="dxa" w:w="70"/>
            </w:tcMar>
            <w:vAlign w:val="top"/>
          </w:tcPr>
          <w:p>
            <w:pPr>
              <w:keepNext w:val="false"/>
              <w:keepLines/>
              <w:spacing w:after="0" w:line="240"/>
              <w:jc w:val="left"/>
            </w:pPr>
            <w:r>
              <w:rPr>
                <w:sz w:val="16"/>
                <w:szCs w:val="16"/>
              </w:rPr>
              <w:t xml:space="preserve">одит на сигурността, резюме към МОН</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2900"/>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без ДДС (не повече от 27 €)</w:t>
            </w:r>
          </w:p>
        </w:tc>
        <w:tc>
          <w:tcPr>
            <w:tcW w:type="dxa" w:w="4238"/>
            <w:shd w:fill="F3F5F4" w:color="auto" w:val="clear"/>
            <w:tcMar>
              <w:top w:type="dxa" w:w="40"/>
              <w:left w:type="dxa" w:w="70"/>
              <w:bottom w:type="dxa" w:w="40"/>
              <w:right w:type="dxa" w:w="70"/>
            </w:tcMar>
            <w:vAlign w:val="top"/>
          </w:tcPr>
          <w:p>
            <w:pPr>
              <w:keepNext w:val="false"/>
              <w:keepLines/>
              <w:spacing w:after="0" w:line="240"/>
              <w:jc w:val="left"/>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2900"/>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ДДС 20%</w:t>
            </w:r>
          </w:p>
        </w:tc>
        <w:tc>
          <w:tcPr>
            <w:tcW w:type="dxa" w:w="4238"/>
            <w:shd w:fill="F3F5F4" w:color="auto" w:val="clear"/>
            <w:tcMar>
              <w:top w:type="dxa" w:w="40"/>
              <w:left w:type="dxa" w:w="70"/>
              <w:bottom w:type="dxa" w:w="40"/>
              <w:right w:type="dxa" w:w="70"/>
            </w:tcMar>
            <w:vAlign w:val="top"/>
          </w:tcPr>
          <w:p>
            <w:pPr>
              <w:keepNext w:val="false"/>
              <w:keepLines/>
              <w:spacing w:after="0" w:line="240"/>
              <w:jc w:val="left"/>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2900"/>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с ДДС (не повече от 32,40 €)</w:t>
            </w:r>
          </w:p>
        </w:tc>
        <w:tc>
          <w:tcPr>
            <w:tcW w:type="dxa" w:w="4238"/>
            <w:shd w:fill="F3F5F4" w:color="auto" w:val="clear"/>
            <w:tcMar>
              <w:top w:type="dxa" w:w="40"/>
              <w:left w:type="dxa" w:w="70"/>
              <w:bottom w:type="dxa" w:w="40"/>
              <w:right w:type="dxa" w:w="70"/>
            </w:tcMar>
            <w:vAlign w:val="top"/>
          </w:tcPr>
          <w:p>
            <w:pPr>
              <w:keepNext w:val="false"/>
              <w:keepLines/>
              <w:spacing w:after="0" w:line="240"/>
              <w:jc w:val="left"/>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bl>
    <w:p>
      <w:pPr>
        <w:spacing w:after="120"/>
      </w:pPr>
    </w:p>
    <w:p>
      <w:pPr>
        <w:spacing w:after="100"/>
      </w:pPr>
      <w:r>
        <w:t xml:space="preserve">Годишната цена за градината е цената на дете, умножена по броя на децата в НЕИСПУО към определената дата. Пример: при 118 деца и 27 € на дете годишната цена е 3 186 € без ДДС.</w:t>
      </w:r>
    </w:p>
    <w:p>
      <w:pPr>
        <w:keepNext/>
        <w:spacing w:after="60" w:before="80"/>
      </w:pPr>
      <w:r>
        <w:rPr>
          <w:b/>
          <w:bCs/>
          <w:color w:val="1E5F57"/>
        </w:rPr>
        <w:t xml:space="preserve">Таблица 3. Опции О8 и О9 (на дете, годишно, извън двете пера)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700"/>
        <w:gridCol w:w="5238"/>
        <w:gridCol w:w="1900"/>
        <w:gridCol w:w="1800"/>
      </w:tblGrid>
      <w:tr>
        <w:trPr>
          <w:cantSplit/>
          <w:tblHeader/>
        </w:trPr>
        <w:tc>
          <w:tcPr>
            <w:tcW w:type="dxa" w:w="7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w:t>
            </w:r>
          </w:p>
        </w:tc>
        <w:tc>
          <w:tcPr>
            <w:tcW w:type="dxa" w:w="52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Позиция (марка и модел)</w:t>
            </w:r>
          </w:p>
        </w:tc>
        <w:tc>
          <w:tcPr>
            <w:tcW w:type="dxa" w:w="19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Бр. на обект</w:t>
            </w:r>
          </w:p>
        </w:tc>
        <w:tc>
          <w:tcPr>
            <w:tcW w:type="dxa" w:w="1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 на дете годишно</w:t>
            </w: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О8 Автоматично предаване и вземане (ориентир ≈33 € на дете годишно без ДДС, оценка)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О8.1</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Метки за децата (гривна, лента за глезена или клипс)</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1 на дете с метка</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О8.2</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Ключодържатели за родителите и упълномощените лица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2 на дете с метка</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О8.3</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Четци и контролер за достъп за възрастните (карта, QR код, PIN)</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1 на порта</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О8.4</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Приемници на портите, отвътре и отвън</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2 на порта</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О8.5</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Електрическа ключалка с авариен бутон и връзка с пожарната аларма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1 на порта</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О8.6</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Монтаж, окабеляване, настройка и интеграция (електронен дневник, упълномощени лица)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1 компл.</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О8.7</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Подмяна на метки и батерии, годишна поддръжка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годишно</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5238"/>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О8 на дете годишно, без ДДС</w:t>
            </w:r>
          </w:p>
        </w:tc>
        <w:tc>
          <w:tcPr>
            <w:tcW w:type="dxa" w:w="1900"/>
            <w:shd w:fill="F3F5F4" w:color="auto" w:val="clear"/>
            <w:tcMar>
              <w:top w:type="dxa" w:w="40"/>
              <w:left w:type="dxa" w:w="70"/>
              <w:bottom w:type="dxa" w:w="40"/>
              <w:right w:type="dxa" w:w="70"/>
            </w:tcMar>
            <w:vAlign w:val="top"/>
          </w:tcPr>
          <w:p>
            <w:pPr>
              <w:keepNext w:val="false"/>
              <w:keepLines/>
              <w:spacing w:after="0" w:line="240"/>
              <w:jc w:val="left"/>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r>
        <w:trPr>
          <w:cantSplit/>
        </w:trPr>
        <w:tc>
          <w:tcPr>
            <w:tcW w:type="dxa" w:w="9638"/>
            <w:gridSpan w:val="4"/>
            <w:shd w:fill="E6F0EE" w:color="auto" w:val="clear"/>
            <w:tcMar>
              <w:top w:type="dxa" w:w="40"/>
              <w:left w:type="dxa" w:w="70"/>
              <w:bottom w:type="dxa" w:w="40"/>
              <w:right w:type="dxa" w:w="70"/>
            </w:tcMar>
            <w:vAlign w:val="top"/>
          </w:tcPr>
          <w:p>
            <w:pPr>
              <w:keepNext/>
              <w:keepLines/>
              <w:spacing w:after="0" w:line="240"/>
              <w:jc w:val="left"/>
            </w:pPr>
            <w:r>
              <w:rPr>
                <w:b/>
                <w:bCs/>
                <w:sz w:val="16"/>
                <w:szCs w:val="16"/>
              </w:rPr>
              <w:t xml:space="preserve">О9 Зони в двора, изисква О8 (ориентир ≈13 € на дете годишно без ДДС, оценка)</w:t>
            </w: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О9.1</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Приемници в двора (посочете броя след огледа)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6 до 12</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О9.2</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Монтаж, окабеляване и настройка на зоните</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1 компл.</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tcMar>
              <w:top w:type="dxa" w:w="40"/>
              <w:left w:type="dxa" w:w="70"/>
              <w:bottom w:type="dxa" w:w="40"/>
              <w:right w:type="dxa" w:w="70"/>
            </w:tcMar>
            <w:vAlign w:val="top"/>
          </w:tcPr>
          <w:p>
            <w:pPr>
              <w:keepNext w:val="false"/>
              <w:keepLines/>
              <w:spacing w:after="0" w:line="240"/>
              <w:jc w:val="left"/>
            </w:pPr>
            <w:r>
              <w:rPr>
                <w:sz w:val="16"/>
                <w:szCs w:val="16"/>
              </w:rPr>
              <w:t xml:space="preserve">О9.3</w:t>
            </w:r>
          </w:p>
        </w:tc>
        <w:tc>
          <w:tcPr>
            <w:tcW w:type="dxa" w:w="5238"/>
            <w:tcMar>
              <w:top w:type="dxa" w:w="40"/>
              <w:left w:type="dxa" w:w="70"/>
              <w:bottom w:type="dxa" w:w="40"/>
              <w:right w:type="dxa" w:w="70"/>
            </w:tcMar>
            <w:vAlign w:val="top"/>
          </w:tcPr>
          <w:p>
            <w:pPr>
              <w:keepNext w:val="false"/>
              <w:keepLines/>
              <w:spacing w:after="0" w:line="240"/>
              <w:jc w:val="left"/>
            </w:pPr>
            <w:r>
              <w:rPr>
                <w:sz w:val="16"/>
                <w:szCs w:val="16"/>
              </w:rPr>
              <w:t xml:space="preserve">Лиценз за софтуера за позициониране и годишна поддръжка</w:t>
            </w:r>
          </w:p>
        </w:tc>
        <w:tc>
          <w:tcPr>
            <w:tcW w:type="dxa" w:w="1900"/>
            <w:tcMar>
              <w:top w:type="dxa" w:w="40"/>
              <w:left w:type="dxa" w:w="70"/>
              <w:bottom w:type="dxa" w:w="40"/>
              <w:right w:type="dxa" w:w="70"/>
            </w:tcMar>
            <w:vAlign w:val="top"/>
          </w:tcPr>
          <w:p>
            <w:pPr>
              <w:keepNext w:val="false"/>
              <w:keepLines/>
              <w:spacing w:after="0" w:line="240"/>
              <w:jc w:val="left"/>
            </w:pPr>
            <w:r>
              <w:rPr>
                <w:sz w:val="16"/>
                <w:szCs w:val="16"/>
              </w:rPr>
              <w:t xml:space="preserve">годишно</w:t>
            </w:r>
          </w:p>
        </w:tc>
        <w:tc>
          <w:tcPr>
            <w:tcW w:type="dxa" w:w="1800"/>
            <w:tcMar>
              <w:top w:type="dxa" w:w="40"/>
              <w:left w:type="dxa" w:w="70"/>
              <w:bottom w:type="dxa" w:w="40"/>
              <w:right w:type="dxa" w:w="70"/>
            </w:tcMar>
            <w:vAlign w:val="top"/>
          </w:tcPr>
          <w:p>
            <w:pPr>
              <w:keepNext w:val="false"/>
              <w:keepLines/>
              <w:spacing w:after="0" w:line="240"/>
              <w:jc w:val="left"/>
            </w:pPr>
          </w:p>
        </w:tc>
      </w:tr>
      <w:tr>
        <w:trPr>
          <w:cantSplit/>
        </w:trPr>
        <w:tc>
          <w:tcPr>
            <w:tcW w:type="dxa" w:w="700"/>
            <w:shd w:fill="F3F5F4" w:color="auto" w:val="clear"/>
            <w:tcMar>
              <w:top w:type="dxa" w:w="40"/>
              <w:left w:type="dxa" w:w="70"/>
              <w:bottom w:type="dxa" w:w="40"/>
              <w:right w:type="dxa" w:w="70"/>
            </w:tcMar>
            <w:vAlign w:val="top"/>
          </w:tcPr>
          <w:p>
            <w:pPr>
              <w:keepNext w:val="false"/>
              <w:keepLines/>
              <w:spacing w:after="0" w:line="240"/>
              <w:jc w:val="left"/>
            </w:pPr>
          </w:p>
        </w:tc>
        <w:tc>
          <w:tcPr>
            <w:tcW w:type="dxa" w:w="5238"/>
            <w:shd w:fill="F3F5F4" w:color="auto" w:val="clear"/>
            <w:tcMar>
              <w:top w:type="dxa" w:w="40"/>
              <w:left w:type="dxa" w:w="70"/>
              <w:bottom w:type="dxa" w:w="40"/>
              <w:right w:type="dxa" w:w="70"/>
            </w:tcMar>
            <w:vAlign w:val="top"/>
          </w:tcPr>
          <w:p>
            <w:pPr>
              <w:keepNext w:val="false"/>
              <w:keepLines/>
              <w:spacing w:after="0" w:line="240"/>
              <w:jc w:val="left"/>
            </w:pPr>
            <w:r>
              <w:rPr>
                <w:b/>
                <w:bCs/>
                <w:sz w:val="16"/>
                <w:szCs w:val="16"/>
              </w:rPr>
              <w:t xml:space="preserve">Общо О9 на дете годишно, без ДДС</w:t>
            </w:r>
          </w:p>
        </w:tc>
        <w:tc>
          <w:tcPr>
            <w:tcW w:type="dxa" w:w="1900"/>
            <w:shd w:fill="F3F5F4" w:color="auto" w:val="clear"/>
            <w:tcMar>
              <w:top w:type="dxa" w:w="40"/>
              <w:left w:type="dxa" w:w="70"/>
              <w:bottom w:type="dxa" w:w="40"/>
              <w:right w:type="dxa" w:w="70"/>
            </w:tcMar>
            <w:vAlign w:val="top"/>
          </w:tcPr>
          <w:p>
            <w:pPr>
              <w:keepNext w:val="false"/>
              <w:keepLines/>
              <w:spacing w:after="0" w:line="240"/>
              <w:jc w:val="left"/>
            </w:pPr>
          </w:p>
        </w:tc>
        <w:tc>
          <w:tcPr>
            <w:tcW w:type="dxa" w:w="1800"/>
            <w:shd w:fill="F3F5F4" w:color="auto" w:val="clear"/>
            <w:tcMar>
              <w:top w:type="dxa" w:w="40"/>
              <w:left w:type="dxa" w:w="70"/>
              <w:bottom w:type="dxa" w:w="40"/>
              <w:right w:type="dxa" w:w="70"/>
            </w:tcMar>
            <w:vAlign w:val="top"/>
          </w:tcPr>
          <w:p>
            <w:pPr>
              <w:keepNext w:val="false"/>
              <w:keepLines/>
              <w:spacing w:after="0" w:line="240"/>
              <w:jc w:val="left"/>
            </w:pPr>
          </w:p>
        </w:tc>
      </w:tr>
    </w:tbl>
    <w:p>
      <w:pPr>
        <w:spacing w:after="120"/>
      </w:pPr>
    </w:p>
    <w:p>
      <w:pPr>
        <w:spacing w:after="100"/>
      </w:pPr>
      <w:r>
        <w:t xml:space="preserve">Еднократните разходи за опциите се разпределят за 5 години в цената на дете годишно. Метките от О8 се ползват и за О9. Алтернатива с позициониране по ъгъла (AoA) или UWB партньорът оферира в отделни редове.</w:t>
      </w:r>
    </w:p>
    <w:p>
      <w:pPr>
        <w:pStyle w:val="Heading1"/>
      </w:pPr>
      <w:r>
        <w:t xml:space="preserve">12. Сертифициране на партньорите</w:t>
      </w:r>
    </w:p>
    <w:p>
      <w:pPr>
        <w:spacing w:after="100"/>
      </w:pPr>
      <w:r>
        <w:t xml:space="preserve">Градината купува само от сертифицирани партньори и само сертифицирани решения от списъка на МОН. KAI сертифицира партньорите за качество на монтажа и на обслужването. Списъкът се публикува и се обновява.</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4800"/>
        <w:gridCol w:w="4838"/>
      </w:tblGrid>
      <w:tr>
        <w:trPr>
          <w:cantSplit/>
          <w:tblHeader/>
        </w:trPr>
        <w:tc>
          <w:tcPr>
            <w:tcW w:type="dxa" w:w="48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Изискване към партньора</w:t>
            </w:r>
          </w:p>
        </w:tc>
        <w:tc>
          <w:tcPr>
            <w:tcW w:type="dxa" w:w="48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Как се доказва</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Обучени техници за монтаж, калибриране и настройка на видео сървъра и анализа.</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Сертификати от обучението. Поне един обучен техник на всеки обект при монтажа.</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Партньорство с производителя на предлагания видео сървър и анализ.</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Документ от производителя.</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Решение, изпитано при проверката в 3 градини или на пробен обект по раздел 8.</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Протокол с изпълнени цели по 8.2.</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Обслужване на първа линия по SLA (9.5) в областите, в които партньорът оферира.</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Описание на сервизните точки и сроковете за реакция.</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Свързаност по поз. 1.16: 2 SIM карти от двама мобилни оператори в отделна частна мрежа.</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Договори с операторите или собствена мрежа на национален оператор.</w:t>
            </w:r>
          </w:p>
        </w:tc>
      </w:tr>
      <w:tr>
        <w:trPr>
          <w:cantSplit/>
        </w:trPr>
        <w:tc>
          <w:tcPr>
            <w:tcW w:type="dxa" w:w="4800"/>
            <w:tcMar>
              <w:top w:type="dxa" w:w="40"/>
              <w:left w:type="dxa" w:w="70"/>
              <w:bottom w:type="dxa" w:w="40"/>
              <w:right w:type="dxa" w:w="70"/>
            </w:tcMar>
            <w:vAlign w:val="top"/>
          </w:tcPr>
          <w:p>
            <w:pPr>
              <w:keepNext w:val="false"/>
              <w:keepLines/>
              <w:spacing w:after="0" w:line="240"/>
              <w:jc w:val="left"/>
            </w:pPr>
            <w:r>
              <w:rPr>
                <w:sz w:val="16"/>
                <w:szCs w:val="16"/>
              </w:rPr>
              <w:t xml:space="preserve">Сигурност и защита на данните.</w:t>
            </w:r>
          </w:p>
        </w:tc>
        <w:tc>
          <w:tcPr>
            <w:tcW w:type="dxa" w:w="4838"/>
            <w:tcMar>
              <w:top w:type="dxa" w:w="40"/>
              <w:left w:type="dxa" w:w="70"/>
              <w:bottom w:type="dxa" w:w="40"/>
              <w:right w:type="dxa" w:w="70"/>
            </w:tcMar>
            <w:vAlign w:val="top"/>
          </w:tcPr>
          <w:p>
            <w:pPr>
              <w:keepNext w:val="false"/>
              <w:keepLines/>
              <w:spacing w:after="0" w:line="240"/>
              <w:jc w:val="left"/>
            </w:pPr>
            <w:r>
              <w:rPr>
                <w:sz w:val="16"/>
                <w:szCs w:val="16"/>
              </w:rPr>
              <w:t xml:space="preserve">Договор за обработване, обучен персонал; ISO 27001 (желателно).</w:t>
            </w:r>
          </w:p>
        </w:tc>
      </w:tr>
    </w:tbl>
    <w:p>
      <w:pPr>
        <w:spacing w:after="120"/>
      </w:pPr>
    </w:p>
    <w:p>
      <w:pPr>
        <w:spacing w:after="100"/>
      </w:pPr>
      <w:r>
        <w:rPr>
          <w:b/>
          <w:bCs/>
        </w:rPr>
        <w:t xml:space="preserve">Поддържане на сертификата.</w:t>
      </w:r>
      <w:r>
        <w:t xml:space="preserve"> Всяка година KAI преглежда показателите на обектите на партньора: дял на обектите, приети от първия път, реакция по SLA, фалшиви сигнали, време до потвърждение и резултатите от годишния одит. При системни нарушения сертификатът се спира. Обектите на партньора се поемат от друг сертифициран партньор с документацията от 7.3.</w:t>
      </w:r>
    </w:p>
    <w:p>
      <w:pPr>
        <w:spacing w:after="100"/>
      </w:pPr>
      <w:r>
        <w:rPr>
          <w:b/>
          <w:bCs/>
        </w:rPr>
        <w:t xml:space="preserve">Как избира градината.</w:t>
      </w:r>
      <w:r>
        <w:t xml:space="preserve"> Директорът избира партньор от списъка. Той може да поиска оферти от няколко партньора и да ги сравни по цена в рамките на максималните бюджети, срок за монтаж и обслужване в своя район.</w:t>
      </w:r>
    </w:p>
    <w:p>
      <w:pPr>
        <w:pStyle w:val="Heading1"/>
      </w:pPr>
      <w:r>
        <w:t xml:space="preserve">Приложение А. Речник на термините</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2600"/>
        <w:gridCol w:w="7038"/>
      </w:tblGrid>
      <w:tr>
        <w:trPr>
          <w:cantSplit/>
          <w:tblHeader/>
        </w:trPr>
        <w:tc>
          <w:tcPr>
            <w:tcW w:type="dxa" w:w="26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Термин</w:t>
            </w:r>
          </w:p>
        </w:tc>
        <w:tc>
          <w:tcPr>
            <w:tcW w:type="dxa" w:w="70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Значение</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KAI</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Kindergarden AI. Платформата за сигнали за безопасност в детски градини, предмет на тази спецификация.</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Обект</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Сграда на детската градина с двор. Филиал на друг адрес със свой двор е отделен обект.</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Перо 1</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Еднократен пакет за обекта: оборудване, монтаж, 5 години поддръжка, гаранция и свързаност. До 22 400 € без ДДС.</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Перо 2</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Годишна услуга на дете: платформа, мониторинг, обслужване, отчети, интеграции, одит. До 27 € без ДДС.</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Сертифициран партньор</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Национален оператор или интегратор, сертифициран от KAI за монтаж и обслужване на обектите.</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Видео сървър (VMS)</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Софтуер за запис, роли, журнал на достъпа и управление на сигналите от камерите (напр. Genetec Security Center).</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Анализ на видео</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Автоматично засичане на пресичане на линия, зона и посока. В камерата (на портите) или на сървъра (за оградата).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Сигнал</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Събитие, което изисква реакция от персонала: нисък обект без придружител, пресичане на ограда, порта отворена извън график или техническо.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Нисък обект без придружител</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Обект под 1,30 m, който пресича линията на портата навън, без обект над 1,50 m в ±5 с и 2 m около него.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Режим „двор“</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Състояние, в което оградата и площадката се наблюдават, защото поне една група е навън. Включва се по график или ръчно.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Потвърждение</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Действие „Отивам“ на служител, с което той поема сигнала и спира ескалацията.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Ескалация</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Автоматично предаване на непотвърден сигнал към следващия в списъка: втори дежурен на 30 с, директор на 60 с.</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Дежурен</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Служителят, който по графика получава сигналите за дадена зона и интервал.</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Регистър на инцидентите</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Списъкът на всички сигнали с резултат, време до потвърждение и отговорна роля.</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Калибриране</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Настройка на камерата по височина, наклон и фокусно разстояние, за да мери ръста в метри.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ОВЗД</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Оценка на въздействието върху защитата на данните по чл. 35 GDPR.</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ДЛЗД</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Длъжностно лице по защита на данните.</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КЗЛД</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Комисия за защита на личните данни.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ДАЗД</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Държавна агенция за закрила на детето.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ЗОП</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Закон за обществените поръчки.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AI Act</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Регламент (ЕС) 2024/1689 за изкуствения интелект.</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НЕИСПУО</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Национална електронна информационна система за предучилищното и училищното образование на МОН.</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ONVIF</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Отворен стандарт за връзка между камери и видео сървъри. Profile S за видеопоток, T за съвременни кодеци и събития, M за метаданни и събития от анализа.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MQTT</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Лек протокол за съобщения между устройства и сървър.</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Частна мобилна мрежа</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Отделна мрежа на мобилните оператори за устройствата на обектите, без достъп от интернет. Обектът ползва 2 SIM карти от двама оператори.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Криптиран тунел (VPN)</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Криптирана връзка между обекта и платформата KAI (IPsec или WireGuard).</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Упълномощено лице</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Родител или друг възрастен, на когото родителите са разрешили да взема детето.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OSDP, Wiegand</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Протоколи за връзка между четеца на карти и контролера за достъп. OSDP е по-новият и поддържа криптиране.</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CVE</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Публичен каталог на известните уязвимости в софтуера и фърмуера.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BLE</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Bluetooth Low Energy. Bluetooth с ниска консумация (версия 5.x), на който работят метките.</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Метка (tag)</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Малко устройство, което детето носи (гривна, лента за глезена или клипс). Излъчва криптиран сменящ се идентификатор и не съдържа данни за детето.</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Приемник (gateway)</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Неподвижно устройство на портата или в двора, което засича метките и праща данните към KAI.</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Криптиран сменящ се идентификатор</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Идентификатор на метката, който се сменя често и който само KAI може да свърже с детето. Пречи на външни лица да следят детето с телефон.</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RTLS, позициониране</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Real-Time Location System. Определяне в реално време къде е метката. В О9 резултатът е само зона.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AoA</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Angle of Arrival. Позициониране по ъгъла на сигнала (BLE 5.1) с точност под 1 m. По-скъпа алтернатива.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UWB</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Ultra-Wideband. Свръхширокочестотна радиовръзка за позициониране с точност 10 до 30 cm. По-скъпа алтернатива.</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Зона</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Част от двора или порта с име (напр. Пясъчник, Порта 2). В О9 местоположението се показва само като зона, без координати.</w:t>
            </w:r>
          </w:p>
        </w:tc>
      </w:tr>
      <w:tr>
        <w:trPr>
          <w:cantSplit/>
        </w:trPr>
        <w:tc>
          <w:tcPr>
            <w:tcW w:type="dxa" w:w="2600"/>
            <w:tcMar>
              <w:top w:type="dxa" w:w="40"/>
              <w:left w:type="dxa" w:w="70"/>
              <w:bottom w:type="dxa" w:w="40"/>
              <w:right w:type="dxa" w:w="70"/>
            </w:tcMar>
            <w:vAlign w:val="top"/>
          </w:tcPr>
          <w:p>
            <w:pPr>
              <w:keepNext w:val="false"/>
              <w:keepLines/>
              <w:spacing w:after="0" w:line="240"/>
              <w:jc w:val="left"/>
            </w:pPr>
            <w:r>
              <w:rPr>
                <w:b/>
                <w:bCs/>
                <w:sz w:val="16"/>
                <w:szCs w:val="16"/>
              </w:rPr>
              <w:t xml:space="preserve">Електронен дневник</w:t>
            </w:r>
          </w:p>
        </w:tc>
        <w:tc>
          <w:tcPr>
            <w:tcW w:type="dxa" w:w="7038"/>
            <w:tcMar>
              <w:top w:type="dxa" w:w="40"/>
              <w:left w:type="dxa" w:w="70"/>
              <w:bottom w:type="dxa" w:w="40"/>
              <w:right w:type="dxa" w:w="70"/>
            </w:tcMar>
            <w:vAlign w:val="top"/>
          </w:tcPr>
          <w:p>
            <w:pPr>
              <w:keepNext w:val="false"/>
              <w:keepLines/>
              <w:spacing w:after="0" w:line="240"/>
              <w:jc w:val="left"/>
            </w:pPr>
            <w:r>
              <w:rPr>
                <w:sz w:val="16"/>
                <w:szCs w:val="16"/>
              </w:rPr>
              <w:t xml:space="preserve">Системата, в която градината води присъствията и комуникацията с родителите. KAI праща към нея извънредните съобщения, а при О8 присъствията и известията за вземане.</w:t>
            </w:r>
          </w:p>
        </w:tc>
      </w:tr>
    </w:tbl>
    <w:p>
      <w:pPr>
        <w:spacing w:after="120"/>
      </w:pPr>
    </w:p>
    <w:p>
      <w:pPr>
        <w:pStyle w:val="Heading1"/>
      </w:pPr>
      <w:r>
        <w:t xml:space="preserve">Приложение Б. Примерен сценарий на сигнал</w:t>
      </w:r>
    </w:p>
    <w:p>
      <w:pPr>
        <w:spacing w:after="100"/>
      </w:pPr>
      <w:r>
        <w:t xml:space="preserve">ДГ № 1 „Слънце“, вторник, 6 октомври 2026. Групите „Пчелички“ и „Калинки“ са на двора от 10:05 до 11:30, режим „двор“ е включен. Всички данни са примерни. Персоналът е посочен само с роля.</w:t>
      </w:r>
    </w:p>
    <w:tbl>
      <w:tblPr>
        <w:tblW w:type="dxa" w:w="9638"/>
        <w:tblBorders>
          <w:top w:val="single" w:color="BFCBC8" w:sz="4"/>
          <w:left w:val="single" w:color="BFCBC8" w:sz="4"/>
          <w:bottom w:val="single" w:color="BFCBC8" w:sz="4"/>
          <w:right w:val="single" w:color="BFCBC8" w:sz="4"/>
          <w:insideH w:val="single" w:color="BFCBC8" w:sz="4"/>
          <w:insideV w:val="single" w:color="BFCBC8" w:sz="4"/>
        </w:tblBorders>
        <w:tblLayout w:type="fixed"/>
      </w:tblPr>
      <w:tblGrid>
        <w:gridCol w:w="1500"/>
        <w:gridCol w:w="6038"/>
        <w:gridCol w:w="2100"/>
      </w:tblGrid>
      <w:tr>
        <w:trPr>
          <w:cantSplit/>
          <w:tblHeader/>
        </w:trPr>
        <w:tc>
          <w:tcPr>
            <w:tcW w:type="dxa" w:w="15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Час</w:t>
            </w:r>
          </w:p>
        </w:tc>
        <w:tc>
          <w:tcPr>
            <w:tcW w:type="dxa" w:w="6038"/>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Стъпка</w:t>
            </w:r>
          </w:p>
        </w:tc>
        <w:tc>
          <w:tcPr>
            <w:tcW w:type="dxa" w:w="2100"/>
            <w:shd w:fill="1E5F57" w:color="auto" w:val="clear"/>
            <w:tcMar>
              <w:top w:type="dxa" w:w="40"/>
              <w:left w:type="dxa" w:w="70"/>
              <w:bottom w:type="dxa" w:w="40"/>
              <w:right w:type="dxa" w:w="70"/>
            </w:tcMar>
            <w:vAlign w:val="center"/>
          </w:tcPr>
          <w:p>
            <w:pPr>
              <w:keepNext w:val="false"/>
              <w:keepLines/>
              <w:spacing w:after="0" w:line="240"/>
              <w:jc w:val="left"/>
            </w:pPr>
            <w:r>
              <w:rPr>
                <w:b/>
                <w:bCs/>
                <w:color w:val="FFFFFF"/>
                <w:sz w:val="16"/>
                <w:szCs w:val="16"/>
              </w:rPr>
              <w:t xml:space="preserve">Кой или какво</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10:42:03</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Сензорът S2 отчита, че Порта 2 е отворена.</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сензор S2</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10:42:07</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Камера B2 на Порта 2 засича нисък обект (около 1,05 m), който пресича линията навън. Анализът е в камерата и мери ръста в метри.</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камера B2</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10:42:08</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Видео сървърът приема събитието и пази клип. Платформата проверява правилата: режим „двор“ е включен, Порта 2 е наблюдавана зона, в ±5 с и 2 m няма висок обект. Резултатът е критичен сигнал № 2026-1006-01.</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видео сървър, KAI</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10:42:09</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Критично известие до дежурния (учител, гр. „Калинки“) и втория дежурен (учител, гр. „Пчелички“). Известието звучи и в тих режим. Светлината и звукът на място на Порта 2 се включват.</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 приложение, сигнал на място</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10:42:19</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Дежурният натиска „Отивам“, 12 с от засичането. Ескалацията към директора не тръгва.</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учител, гр. „Калинки“</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10:43:40</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Дежурният вписва резултат: детето е върнато. Сигналът е затворен. Порта 2 е затворена от 10:43:31 (S2).</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учител, гр. „Калинки“</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10:44:00</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Клип от 20 с (10:41:57 до 10:42:17) е записан в регистъра. Пази се 30 дни, след това се изтрива автоматично.</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видео сървър, KAI</w:t>
            </w:r>
          </w:p>
        </w:tc>
      </w:tr>
      <w:tr>
        <w:trPr>
          <w:cantSplit/>
        </w:trPr>
        <w:tc>
          <w:tcPr>
            <w:tcW w:type="dxa" w:w="1500"/>
            <w:tcMar>
              <w:top w:type="dxa" w:w="40"/>
              <w:left w:type="dxa" w:w="70"/>
              <w:bottom w:type="dxa" w:w="40"/>
              <w:right w:type="dxa" w:w="70"/>
            </w:tcMar>
            <w:vAlign w:val="top"/>
          </w:tcPr>
          <w:p>
            <w:pPr>
              <w:keepNext w:val="false"/>
              <w:keepLines/>
              <w:spacing w:after="0" w:line="240"/>
              <w:jc w:val="left"/>
            </w:pPr>
            <w:r>
              <w:rPr>
                <w:b/>
                <w:bCs/>
                <w:sz w:val="16"/>
                <w:szCs w:val="16"/>
              </w:rPr>
              <w:t xml:space="preserve">ако няма потвърждение</w:t>
            </w:r>
          </w:p>
        </w:tc>
        <w:tc>
          <w:tcPr>
            <w:tcW w:type="dxa" w:w="6038"/>
            <w:tcMar>
              <w:top w:type="dxa" w:w="40"/>
              <w:left w:type="dxa" w:w="70"/>
              <w:bottom w:type="dxa" w:w="40"/>
              <w:right w:type="dxa" w:w="70"/>
            </w:tcMar>
            <w:vAlign w:val="top"/>
          </w:tcPr>
          <w:p>
            <w:pPr>
              <w:keepNext w:val="false"/>
              <w:keepLines/>
              <w:spacing w:after="0" w:line="240"/>
              <w:jc w:val="left"/>
            </w:pPr>
            <w:r>
              <w:rPr>
                <w:sz w:val="16"/>
                <w:szCs w:val="16"/>
              </w:rPr>
              <w:t xml:space="preserve">На 30 с сигналът отива към втория дежурен с SMS и обаждане, на 60 с към директора.</w:t>
            </w:r>
          </w:p>
        </w:tc>
        <w:tc>
          <w:tcPr>
            <w:tcW w:type="dxa" w:w="2100"/>
            <w:tcMar>
              <w:top w:type="dxa" w:w="40"/>
              <w:left w:type="dxa" w:w="70"/>
              <w:bottom w:type="dxa" w:w="40"/>
              <w:right w:type="dxa" w:w="70"/>
            </w:tcMar>
            <w:vAlign w:val="top"/>
          </w:tcPr>
          <w:p>
            <w:pPr>
              <w:keepNext w:val="false"/>
              <w:keepLines/>
              <w:spacing w:after="0" w:line="240"/>
              <w:jc w:val="left"/>
            </w:pPr>
            <w:r>
              <w:rPr>
                <w:sz w:val="16"/>
                <w:szCs w:val="16"/>
              </w:rPr>
              <w:t xml:space="preserve">KAI</w:t>
            </w:r>
          </w:p>
        </w:tc>
      </w:tr>
    </w:tbl>
    <w:p>
      <w:pPr>
        <w:spacing w:after="120"/>
      </w:pPr>
    </w:p>
    <w:p>
      <w:pPr>
        <w:spacing w:after="100"/>
      </w:pPr>
      <w:r>
        <w:t xml:space="preserve">Директорът вижда сигнала в таблото за сведение. Таблото на общината показва „ДГ № 1: сигнал 10:42, потвърден за 12 с“, без видео и без имена. МОН вижда само обобщените показатели.</w:t>
      </w:r>
    </w:p>
    <w:sectPr>
      <w:headerReference w:type="default" r:id="rId6"/>
      <w:headerReference w:type="first" r:id="rId7"/>
      <w:footerReference w:type="default" r:id="rId8"/>
      <w:footerReference w:type="first" r:id="rId9"/>
      <w:pgSz w:w="11906" w:h="16838" w:orient="portrait"/>
      <w:pgMar w:top="1134" w:right="1134" w:bottom="1077" w:left="1134" w:header="560" w:footer="52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5A6866"/>
        <w:sz w:val="16"/>
        <w:szCs w:val="16"/>
      </w:rPr>
      <w:t xml:space="preserve">KAI · спецификация към указанията на МОН · октомври 2026</w:t>
    </w:r>
    <w:r>
      <w:rPr>
        <w:color w:val="5A6866"/>
        <w:sz w:val="16"/>
        <w:szCs w:val="16"/>
      </w:rPr>
      <w:t xml:space="preserve">	Страница </w:t>
      <w:fldChar w:fldCharType="begin"/>
      <w:instrText xml:space="preserve">PAGE</w:instrText>
      <w:fldChar w:fldCharType="separate"/>
      <w:fldChar w:fldCharType="end"/>
      <w:t xml:space="preserve"> от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5F57" w:sz="4" w:space="4"/>
      </w:pBdr>
      <w:tabs>
        <w:tab w:val="right" w:pos="9638"/>
      </w:tabs>
    </w:pPr>
    <w:r>
      <w:rPr>
        <w:b/>
        <w:bCs/>
        <w:color w:val="1E5F57"/>
        <w:sz w:val="16"/>
        <w:szCs w:val="16"/>
      </w:rPr>
      <w:t xml:space="preserve">KAI · Kindergarden AI</w:t>
    </w:r>
    <w:r>
      <w:rPr>
        <w:color w:val="5A6866"/>
        <w:sz w:val="16"/>
        <w:szCs w:val="16"/>
      </w:rPr>
      <w:t xml:space="preserve">	Функционална и техническа спецификация · v1.3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abstractNum w:abstractNumId="3" w15:restartNumberingAfterBreak="0">
    <w:multiLevelType w:val="hybridMultilevel"/>
    <w:lvl w:ilvl="0" w: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64"/>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1E5F57" w:sz="6" w:space="4"/>
      </w:pBdr>
      <w:spacing w:after="140" w:before="320"/>
      <w:outlineLvl w:val="0"/>
    </w:pPr>
    <w:rPr>
      <w:rFonts w:ascii="Arial" w:cs="Arial" w:eastAsia="Arial" w:hAnsi="Arial"/>
      <w:b/>
      <w:bCs/>
      <w:color w:val="1E5F57"/>
      <w:sz w:val="30"/>
      <w:szCs w:val="30"/>
    </w:rPr>
  </w:style>
  <w:style w:type="paragraph" w:styleId="Heading2">
    <w:name w:val="Heading 2"/>
    <w:basedOn w:val="Normal"/>
    <w:next w:val="Normal"/>
    <w:qFormat/>
    <w:pPr>
      <w:keepNext/>
      <w:spacing w:after="100" w:before="220"/>
      <w:outlineLvl w:val="1"/>
    </w:pPr>
    <w:rPr>
      <w:rFonts w:ascii="Arial" w:cs="Arial" w:eastAsia="Arial" w:hAnsi="Arial"/>
      <w:b/>
      <w:bCs/>
      <w:color w:val="1E5F57"/>
      <w:sz w:val="23"/>
      <w:szCs w:val="23"/>
    </w:rPr>
  </w:style>
  <w:style w:type="paragraph" w:styleId="TOC1">
    <w:name w:val="toc 1"/>
    <w:basedOn w:val="Normal"/>
    <w:next w:val="Normal"/>
    <w:pPr>
      <w:tabs>
        <w:tab w:val="right" w:pos="9638" w:leader="dot"/>
      </w:tabs>
      <w:spacing w:after="30" w:before="100"/>
    </w:pPr>
    <w:rPr>
      <w:rFonts w:ascii="Arial" w:cs="Arial" w:eastAsia="Arial" w:hAnsi="Arial"/>
      <w:b/>
      <w:bCs/>
      <w:sz w:val="20"/>
      <w:szCs w:val="20"/>
    </w:rPr>
  </w:style>
  <w:style w:type="paragraph" w:styleId="TOC2">
    <w:name w:val="toc 2"/>
    <w:basedOn w:val="Normal"/>
    <w:next w:val="Normal"/>
    <w:pPr>
      <w:tabs>
        <w:tab w:val="right" w:pos="9638" w:leader="dot"/>
      </w:tabs>
      <w:spacing w:after="20" w:before="0"/>
      <w:ind w:left="360"/>
    </w:pPr>
    <w:rPr>
      <w:rFonts w:ascii="Arial" w:cs="Arial" w:eastAsia="Arial" w:hAnsi="Arial"/>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ofcptzbx4pkyheegfms_b" Type="http://schemas.openxmlformats.org/officeDocument/2006/relationships/hyperlink" Target="https://www.biometricupdate.com/201908/swedish-data-protection-authority-issues-first-fine-for-biometrics-use-under-gdpr" TargetMode="External"/><Relationship Id="rId4erpopbrqiedy7ltpwd7g" Type="http://schemas.openxmlformats.org/officeDocument/2006/relationships/hyperlink" Target="https://www.cnil.fr/fr/experimentation-de-la-reconnaissance-faciale-dans-deux-lycees-la-cnil-precise-sa-positio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 · Kindergarden AI. Функционална и техническа спецификация</dc:title>
  <dc:creator>KAI</dc:creator>
  <dc:description>Версия 1.3, 07.10.2026</dc:description>
  <cp:lastModifiedBy>Un-named</cp:lastModifiedBy>
  <cp:revision>1</cp:revision>
  <dcterms:created xsi:type="dcterms:W3CDTF">2026-10-07T04:29:27.131Z</dcterms:created>
  <dcterms:modified xsi:type="dcterms:W3CDTF">2026-10-07T04:29:27.132Z</dcterms:modified>
</cp:coreProperties>
</file>

<file path=docProps/custom.xml><?xml version="1.0" encoding="utf-8"?>
<Properties xmlns="http://schemas.openxmlformats.org/officeDocument/2006/custom-properties" xmlns:vt="http://schemas.openxmlformats.org/officeDocument/2006/docPropsVTypes"/>
</file>